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46E02">
      <w:pPr>
        <w:rPr>
          <w:rFonts w:ascii="Times New Roman" w:hAnsi="Times New Roman"/>
          <w:sz w:val="32"/>
          <w:szCs w:val="32"/>
        </w:rPr>
      </w:pPr>
      <w:r>
        <w:rPr>
          <w:rFonts w:ascii="Times New Roman" w:hAnsi="Times New Roman"/>
          <w:sz w:val="32"/>
          <w:szCs w:val="32"/>
        </w:rPr>
        <w:t>附件</w:t>
      </w:r>
      <w:r>
        <w:rPr>
          <w:rFonts w:hint="eastAsia" w:ascii="Times New Roman" w:hAnsi="Times New Roman"/>
          <w:sz w:val="32"/>
          <w:szCs w:val="32"/>
        </w:rPr>
        <w:t>6</w:t>
      </w:r>
    </w:p>
    <w:p w14:paraId="65DE1CC6">
      <w:pPr>
        <w:rPr>
          <w:rFonts w:ascii="Times New Roman" w:hAnsi="Times New Roman"/>
          <w:sz w:val="32"/>
          <w:szCs w:val="32"/>
        </w:rPr>
      </w:pPr>
    </w:p>
    <w:p w14:paraId="332814CE">
      <w:pPr>
        <w:jc w:val="center"/>
        <w:rPr>
          <w:rFonts w:hint="default" w:ascii="Times New Roman" w:hAnsi="Times New Roman" w:eastAsia="宋体"/>
          <w:b/>
          <w:sz w:val="36"/>
          <w:szCs w:val="36"/>
          <w:lang w:val="en-US" w:eastAsia="zh-CN"/>
        </w:rPr>
      </w:pPr>
      <w:r>
        <w:rPr>
          <w:rFonts w:hint="eastAsia" w:ascii="Times New Roman" w:hAnsi="Times New Roman"/>
          <w:b/>
          <w:sz w:val="36"/>
          <w:szCs w:val="36"/>
          <w:lang w:val="en-US" w:eastAsia="zh-CN"/>
        </w:rPr>
        <w:t>2020年度</w:t>
      </w:r>
    </w:p>
    <w:p w14:paraId="7B706B7C">
      <w:pPr>
        <w:jc w:val="center"/>
        <w:rPr>
          <w:rFonts w:ascii="Times New Roman" w:hAnsi="Times New Roman"/>
          <w:b/>
          <w:sz w:val="36"/>
          <w:szCs w:val="36"/>
        </w:rPr>
      </w:pPr>
      <w:r>
        <w:rPr>
          <w:rFonts w:hint="eastAsia" w:ascii="Times New Roman" w:hAnsi="Times New Roman"/>
          <w:b/>
          <w:sz w:val="36"/>
          <w:szCs w:val="36"/>
        </w:rPr>
        <w:t>湖南信息职业技术学院</w:t>
      </w:r>
      <w:r>
        <w:rPr>
          <w:rFonts w:ascii="Times New Roman" w:hAnsi="Times New Roman"/>
          <w:b/>
          <w:sz w:val="36"/>
          <w:szCs w:val="36"/>
        </w:rPr>
        <w:t>整体支出绩效</w:t>
      </w:r>
      <w:r>
        <w:rPr>
          <w:rFonts w:hint="eastAsia" w:ascii="Times New Roman" w:hAnsi="Times New Roman"/>
          <w:b/>
          <w:sz w:val="36"/>
          <w:szCs w:val="36"/>
        </w:rPr>
        <w:t>自评</w:t>
      </w:r>
      <w:r>
        <w:rPr>
          <w:rFonts w:ascii="Times New Roman" w:hAnsi="Times New Roman"/>
          <w:b/>
          <w:sz w:val="36"/>
          <w:szCs w:val="36"/>
        </w:rPr>
        <w:t>报告</w:t>
      </w:r>
    </w:p>
    <w:p w14:paraId="1DCB23C1">
      <w:pPr>
        <w:jc w:val="center"/>
        <w:rPr>
          <w:rFonts w:ascii="Times New Roman" w:hAnsi="Times New Roman"/>
          <w:b/>
          <w:sz w:val="36"/>
          <w:szCs w:val="36"/>
        </w:rPr>
      </w:pPr>
    </w:p>
    <w:p w14:paraId="4AF02134">
      <w:pPr>
        <w:jc w:val="center"/>
        <w:rPr>
          <w:rFonts w:ascii="Times New Roman" w:hAnsi="Times New Roman"/>
          <w:b/>
          <w:sz w:val="36"/>
          <w:szCs w:val="36"/>
        </w:rPr>
      </w:pPr>
    </w:p>
    <w:p w14:paraId="2A6E0FCC">
      <w:pPr>
        <w:jc w:val="center"/>
        <w:rPr>
          <w:rFonts w:ascii="Times New Roman" w:hAnsi="Times New Roman"/>
          <w:b/>
          <w:sz w:val="36"/>
          <w:szCs w:val="36"/>
        </w:rPr>
      </w:pPr>
    </w:p>
    <w:p w14:paraId="0FF1ADB8">
      <w:pPr>
        <w:jc w:val="center"/>
        <w:rPr>
          <w:rFonts w:ascii="Times New Roman" w:hAnsi="Times New Roman"/>
          <w:b/>
          <w:sz w:val="36"/>
          <w:szCs w:val="36"/>
        </w:rPr>
      </w:pPr>
    </w:p>
    <w:p w14:paraId="7AC8F7B5">
      <w:pPr>
        <w:jc w:val="center"/>
        <w:rPr>
          <w:rFonts w:ascii="Times New Roman" w:hAnsi="Times New Roman"/>
          <w:b/>
          <w:sz w:val="36"/>
          <w:szCs w:val="36"/>
        </w:rPr>
      </w:pPr>
    </w:p>
    <w:p w14:paraId="0A1F15FE">
      <w:pPr>
        <w:jc w:val="center"/>
        <w:rPr>
          <w:rFonts w:ascii="Times New Roman" w:hAnsi="Times New Roman"/>
          <w:b/>
          <w:sz w:val="36"/>
          <w:szCs w:val="36"/>
        </w:rPr>
      </w:pPr>
    </w:p>
    <w:p w14:paraId="65481FC7">
      <w:pPr>
        <w:jc w:val="center"/>
        <w:rPr>
          <w:rFonts w:ascii="Times New Roman" w:hAnsi="Times New Roman"/>
          <w:b/>
          <w:sz w:val="36"/>
          <w:szCs w:val="36"/>
        </w:rPr>
      </w:pPr>
    </w:p>
    <w:p w14:paraId="0E93C21C">
      <w:pPr>
        <w:jc w:val="center"/>
        <w:rPr>
          <w:rFonts w:ascii="Times New Roman" w:hAnsi="Times New Roman"/>
          <w:b/>
          <w:sz w:val="36"/>
          <w:szCs w:val="36"/>
        </w:rPr>
      </w:pPr>
      <w:r>
        <w:rPr>
          <w:rFonts w:hint="eastAsia" w:ascii="Times New Roman" w:hAnsi="Times New Roman"/>
          <w:b/>
          <w:sz w:val="36"/>
          <w:szCs w:val="36"/>
        </w:rPr>
        <w:t>单位名称（盖章）</w:t>
      </w:r>
    </w:p>
    <w:p w14:paraId="34EF9947">
      <w:pPr>
        <w:jc w:val="center"/>
        <w:rPr>
          <w:rFonts w:ascii="Times New Roman" w:hAnsi="Times New Roman"/>
          <w:b/>
          <w:sz w:val="36"/>
          <w:szCs w:val="36"/>
        </w:rPr>
      </w:pPr>
    </w:p>
    <w:p w14:paraId="1255D45F">
      <w:pPr>
        <w:jc w:val="center"/>
        <w:rPr>
          <w:rFonts w:ascii="Times New Roman" w:hAnsi="Times New Roman"/>
          <w:b/>
          <w:sz w:val="36"/>
          <w:szCs w:val="36"/>
        </w:rPr>
      </w:pPr>
    </w:p>
    <w:p w14:paraId="184360B9">
      <w:pPr>
        <w:jc w:val="center"/>
        <w:rPr>
          <w:rFonts w:ascii="Times New Roman" w:hAnsi="Times New Roman"/>
          <w:b/>
          <w:sz w:val="36"/>
          <w:szCs w:val="36"/>
        </w:rPr>
      </w:pPr>
    </w:p>
    <w:p w14:paraId="5030BA25">
      <w:pPr>
        <w:jc w:val="center"/>
        <w:rPr>
          <w:rFonts w:ascii="Times New Roman" w:hAnsi="Times New Roman"/>
          <w:b/>
          <w:sz w:val="36"/>
          <w:szCs w:val="36"/>
        </w:rPr>
      </w:pPr>
    </w:p>
    <w:p w14:paraId="19D236E2">
      <w:pPr>
        <w:jc w:val="center"/>
        <w:rPr>
          <w:rFonts w:ascii="Times New Roman" w:hAnsi="Times New Roman"/>
          <w:b/>
          <w:sz w:val="36"/>
          <w:szCs w:val="36"/>
        </w:rPr>
      </w:pPr>
    </w:p>
    <w:p w14:paraId="64002A75">
      <w:pPr>
        <w:jc w:val="center"/>
        <w:rPr>
          <w:rFonts w:ascii="Times New Roman" w:hAnsi="Times New Roman"/>
          <w:b/>
          <w:sz w:val="36"/>
          <w:szCs w:val="36"/>
        </w:rPr>
      </w:pPr>
    </w:p>
    <w:p w14:paraId="3907783B">
      <w:pPr>
        <w:jc w:val="center"/>
        <w:rPr>
          <w:rFonts w:ascii="Times New Roman" w:hAnsi="Times New Roman"/>
          <w:bCs/>
          <w:sz w:val="36"/>
          <w:szCs w:val="36"/>
        </w:rPr>
      </w:pPr>
      <w:r>
        <w:rPr>
          <w:rFonts w:hint="eastAsia" w:ascii="Times New Roman" w:hAnsi="Times New Roman"/>
          <w:bCs/>
          <w:sz w:val="36"/>
          <w:szCs w:val="36"/>
        </w:rPr>
        <w:t>（此页为封面）</w:t>
      </w:r>
    </w:p>
    <w:p w14:paraId="208DD2A1">
      <w:pPr>
        <w:jc w:val="center"/>
        <w:rPr>
          <w:rFonts w:ascii="Times New Roman" w:hAnsi="Times New Roman"/>
          <w:b/>
          <w:sz w:val="36"/>
          <w:szCs w:val="36"/>
        </w:rPr>
      </w:pPr>
    </w:p>
    <w:p w14:paraId="0F37734D">
      <w:pPr>
        <w:jc w:val="center"/>
        <w:rPr>
          <w:rFonts w:ascii="Times New Roman" w:hAnsi="Times New Roman"/>
          <w:b/>
          <w:sz w:val="36"/>
          <w:szCs w:val="36"/>
        </w:rPr>
      </w:pPr>
    </w:p>
    <w:p w14:paraId="7C81C315">
      <w:pPr>
        <w:jc w:val="center"/>
        <w:rPr>
          <w:rFonts w:ascii="Times New Roman" w:hAnsi="Times New Roman"/>
          <w:b/>
          <w:sz w:val="36"/>
          <w:szCs w:val="36"/>
        </w:rPr>
      </w:pPr>
    </w:p>
    <w:p w14:paraId="781DC0B9">
      <w:pPr>
        <w:jc w:val="center"/>
        <w:rPr>
          <w:rFonts w:ascii="Times New Roman" w:hAnsi="Times New Roman"/>
          <w:b/>
          <w:sz w:val="36"/>
          <w:szCs w:val="36"/>
        </w:rPr>
      </w:pPr>
    </w:p>
    <w:p w14:paraId="1E70687A">
      <w:pPr>
        <w:jc w:val="center"/>
        <w:rPr>
          <w:rFonts w:ascii="Times New Roman" w:hAnsi="Times New Roman"/>
          <w:b/>
          <w:sz w:val="36"/>
          <w:szCs w:val="36"/>
        </w:rPr>
      </w:pPr>
    </w:p>
    <w:p w14:paraId="31FE2406">
      <w:pPr>
        <w:jc w:val="center"/>
        <w:rPr>
          <w:rFonts w:ascii="Times New Roman" w:hAnsi="Times New Roman"/>
          <w:b/>
          <w:sz w:val="36"/>
          <w:szCs w:val="36"/>
        </w:rPr>
      </w:pPr>
    </w:p>
    <w:p w14:paraId="4EE7C22C">
      <w:pPr>
        <w:jc w:val="center"/>
        <w:rPr>
          <w:rFonts w:ascii="Times New Roman" w:hAnsi="Times New Roman"/>
          <w:b/>
          <w:sz w:val="36"/>
          <w:szCs w:val="36"/>
        </w:rPr>
      </w:pPr>
    </w:p>
    <w:p w14:paraId="27D2C655">
      <w:pPr>
        <w:jc w:val="center"/>
        <w:rPr>
          <w:rFonts w:ascii="Times New Roman" w:hAnsi="Times New Roman"/>
          <w:b/>
          <w:sz w:val="36"/>
          <w:szCs w:val="36"/>
        </w:rPr>
      </w:pPr>
    </w:p>
    <w:p w14:paraId="1F234E4E">
      <w:pPr>
        <w:jc w:val="center"/>
        <w:rPr>
          <w:rFonts w:ascii="Times New Roman" w:hAnsi="Times New Roman"/>
          <w:b/>
          <w:sz w:val="36"/>
          <w:szCs w:val="36"/>
        </w:rPr>
      </w:pPr>
    </w:p>
    <w:p w14:paraId="707ABFFF">
      <w:pPr>
        <w:jc w:val="center"/>
        <w:rPr>
          <w:rFonts w:ascii="Times New Roman" w:hAnsi="Times New Roman"/>
          <w:b/>
          <w:sz w:val="36"/>
          <w:szCs w:val="36"/>
        </w:rPr>
      </w:pPr>
    </w:p>
    <w:p w14:paraId="0619F713">
      <w:pPr>
        <w:jc w:val="center"/>
        <w:rPr>
          <w:rFonts w:ascii="Times New Roman" w:hAnsi="Times New Roman"/>
          <w:b/>
          <w:sz w:val="36"/>
          <w:szCs w:val="36"/>
        </w:rPr>
      </w:pPr>
    </w:p>
    <w:p w14:paraId="383F6488">
      <w:pPr>
        <w:jc w:val="center"/>
        <w:rPr>
          <w:rFonts w:ascii="Times New Roman" w:hAnsi="Times New Roman"/>
          <w:b/>
          <w:sz w:val="36"/>
          <w:szCs w:val="36"/>
        </w:rPr>
      </w:pPr>
    </w:p>
    <w:p w14:paraId="00D23547">
      <w:pPr>
        <w:jc w:val="center"/>
        <w:rPr>
          <w:rFonts w:ascii="Times New Roman" w:hAnsi="Times New Roman"/>
          <w:b/>
          <w:sz w:val="36"/>
          <w:szCs w:val="36"/>
        </w:rPr>
      </w:pPr>
    </w:p>
    <w:p w14:paraId="05C0AF89">
      <w:pPr>
        <w:rPr>
          <w:rFonts w:ascii="Times New Roman" w:hAnsi="Times New Roman"/>
          <w:sz w:val="30"/>
          <w:szCs w:val="30"/>
        </w:rPr>
      </w:pPr>
    </w:p>
    <w:p w14:paraId="50B17A1E">
      <w:pPr>
        <w:spacing w:line="576" w:lineRule="exact"/>
        <w:ind w:firstLine="640" w:firstLineChars="200"/>
        <w:rPr>
          <w:rFonts w:ascii="Times New Roman" w:hAnsi="Times New Roman" w:eastAsia="仿宋"/>
          <w:b/>
          <w:sz w:val="32"/>
          <w:szCs w:val="32"/>
        </w:rPr>
      </w:pPr>
      <w:r>
        <w:rPr>
          <w:rFonts w:hint="eastAsia" w:ascii="Times New Roman" w:hAnsi="Times New Roman" w:eastAsia="黑体"/>
          <w:bCs/>
          <w:sz w:val="32"/>
          <w:szCs w:val="32"/>
        </w:rPr>
        <w:t>一、</w:t>
      </w:r>
      <w:r>
        <w:rPr>
          <w:rFonts w:ascii="Times New Roman" w:hAnsi="Times New Roman" w:eastAsia="黑体"/>
          <w:bCs/>
          <w:sz w:val="32"/>
          <w:szCs w:val="32"/>
        </w:rPr>
        <w:t>部门概况</w:t>
      </w:r>
      <w:r>
        <w:rPr>
          <w:rFonts w:ascii="Times New Roman" w:hAnsi="Times New Roman" w:eastAsia="仿宋"/>
          <w:b/>
          <w:sz w:val="32"/>
          <w:szCs w:val="32"/>
        </w:rPr>
        <w:t xml:space="preserve"> </w:t>
      </w:r>
    </w:p>
    <w:p w14:paraId="7EFB71EF">
      <w:pPr>
        <w:spacing w:line="576" w:lineRule="exact"/>
        <w:ind w:firstLine="280" w:firstLineChars="100"/>
        <w:rPr>
          <w:rFonts w:asciiTheme="minorEastAsia" w:hAnsiTheme="minorEastAsia" w:eastAsiaTheme="minorEastAsia"/>
          <w:sz w:val="28"/>
          <w:szCs w:val="28"/>
        </w:rPr>
      </w:pPr>
      <w:r>
        <w:rPr>
          <w:rFonts w:asciiTheme="minorEastAsia" w:hAnsiTheme="minorEastAsia" w:eastAsiaTheme="minorEastAsia"/>
          <w:sz w:val="28"/>
          <w:szCs w:val="28"/>
        </w:rPr>
        <w:t xml:space="preserve">（一）部门基本情况。 </w:t>
      </w:r>
    </w:p>
    <w:p w14:paraId="123BE1D5">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湖南信息职业技术学院是长沙市政府直属的公办高职院校，是湖南省首批经国家教育部批准的高等职业技术学院，</w:t>
      </w:r>
      <w:r>
        <w:rPr>
          <w:rFonts w:hint="eastAsia" w:asciiTheme="minorEastAsia" w:hAnsiTheme="minorEastAsia" w:eastAsiaTheme="minorEastAsia"/>
          <w:sz w:val="28"/>
          <w:szCs w:val="28"/>
        </w:rPr>
        <w:t>是</w:t>
      </w:r>
      <w:r>
        <w:rPr>
          <w:rFonts w:asciiTheme="minorEastAsia" w:hAnsiTheme="minorEastAsia" w:eastAsiaTheme="minorEastAsia"/>
          <w:sz w:val="28"/>
          <w:szCs w:val="28"/>
        </w:rPr>
        <w:t>湖南省“3D数字化制造技术”战略联盟牵头单位</w:t>
      </w:r>
      <w:r>
        <w:rPr>
          <w:rFonts w:hint="eastAsia" w:asciiTheme="minorEastAsia" w:hAnsiTheme="minorEastAsia" w:eastAsiaTheme="minorEastAsia"/>
          <w:sz w:val="28"/>
          <w:szCs w:val="28"/>
        </w:rPr>
        <w:t>，</w:t>
      </w:r>
      <w:r>
        <w:rPr>
          <w:rFonts w:asciiTheme="minorEastAsia" w:hAnsiTheme="minorEastAsia" w:eastAsiaTheme="minorEastAsia"/>
          <w:sz w:val="28"/>
          <w:szCs w:val="28"/>
        </w:rPr>
        <w:t>是湖南省电子学会、湖南省无线电学会</w:t>
      </w:r>
      <w:r>
        <w:rPr>
          <w:rFonts w:hint="eastAsia" w:asciiTheme="minorEastAsia" w:hAnsiTheme="minorEastAsia" w:eastAsiaTheme="minorEastAsia"/>
          <w:sz w:val="28"/>
          <w:szCs w:val="28"/>
        </w:rPr>
        <w:t>、</w:t>
      </w:r>
      <w:r>
        <w:rPr>
          <w:rFonts w:asciiTheme="minorEastAsia" w:hAnsiTheme="minorEastAsia" w:eastAsiaTheme="minorEastAsia"/>
          <w:sz w:val="28"/>
          <w:szCs w:val="28"/>
        </w:rPr>
        <w:t>湖南省机器人与人工智能推广学会</w:t>
      </w:r>
      <w:r>
        <w:rPr>
          <w:rFonts w:hint="eastAsia" w:asciiTheme="minorEastAsia" w:hAnsiTheme="minorEastAsia" w:eastAsiaTheme="minorEastAsia"/>
          <w:sz w:val="28"/>
          <w:szCs w:val="28"/>
        </w:rPr>
        <w:t>以及</w:t>
      </w:r>
      <w:r>
        <w:rPr>
          <w:rFonts w:asciiTheme="minorEastAsia" w:hAnsiTheme="minorEastAsia" w:eastAsiaTheme="minorEastAsia"/>
          <w:sz w:val="28"/>
          <w:szCs w:val="28"/>
        </w:rPr>
        <w:t>湖南信息产业职业教育集团理事长单位</w:t>
      </w:r>
      <w:r>
        <w:rPr>
          <w:rFonts w:hint="eastAsia" w:asciiTheme="minorEastAsia" w:hAnsiTheme="minorEastAsia" w:eastAsiaTheme="minorEastAsia"/>
          <w:sz w:val="28"/>
          <w:szCs w:val="28"/>
        </w:rPr>
        <w:t>。</w:t>
      </w:r>
    </w:p>
    <w:p w14:paraId="1D6F462E">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目前学院设有七院三部的教学架构，涵盖了电子信息工程技术、机械设计与制造、软件技术和电子商务等31个专业。</w:t>
      </w:r>
    </w:p>
    <w:p w14:paraId="3676A396">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截至2020年底</w:t>
      </w:r>
      <w:r>
        <w:rPr>
          <w:rFonts w:asciiTheme="minorEastAsia" w:hAnsiTheme="minorEastAsia" w:eastAsiaTheme="minorEastAsia"/>
          <w:sz w:val="28"/>
          <w:szCs w:val="28"/>
        </w:rPr>
        <w:t>学院</w:t>
      </w:r>
      <w:r>
        <w:rPr>
          <w:rFonts w:hint="eastAsia" w:asciiTheme="minorEastAsia" w:hAnsiTheme="minorEastAsia" w:eastAsiaTheme="minorEastAsia"/>
          <w:sz w:val="28"/>
          <w:szCs w:val="28"/>
        </w:rPr>
        <w:t>在编在岗</w:t>
      </w:r>
      <w:r>
        <w:rPr>
          <w:rFonts w:asciiTheme="minorEastAsia" w:hAnsiTheme="minorEastAsia" w:eastAsiaTheme="minorEastAsia"/>
          <w:sz w:val="28"/>
          <w:szCs w:val="28"/>
        </w:rPr>
        <w:t>教职工51</w:t>
      </w:r>
      <w:r>
        <w:rPr>
          <w:rFonts w:hint="eastAsia" w:asciiTheme="minorEastAsia" w:hAnsiTheme="minorEastAsia" w:eastAsiaTheme="minorEastAsia"/>
          <w:sz w:val="28"/>
          <w:szCs w:val="28"/>
        </w:rPr>
        <w:t>3</w:t>
      </w:r>
      <w:r>
        <w:rPr>
          <w:rFonts w:asciiTheme="minorEastAsia" w:hAnsiTheme="minorEastAsia" w:eastAsiaTheme="minorEastAsia"/>
          <w:sz w:val="28"/>
          <w:szCs w:val="28"/>
        </w:rPr>
        <w:t>人，其中副高及以上高级职称</w:t>
      </w:r>
      <w:r>
        <w:rPr>
          <w:rFonts w:hint="eastAsia" w:asciiTheme="minorEastAsia" w:hAnsiTheme="minorEastAsia" w:eastAsiaTheme="minorEastAsia"/>
          <w:sz w:val="28"/>
          <w:szCs w:val="28"/>
        </w:rPr>
        <w:t>179</w:t>
      </w:r>
      <w:r>
        <w:rPr>
          <w:rFonts w:asciiTheme="minorEastAsia" w:hAnsiTheme="minorEastAsia" w:eastAsiaTheme="minorEastAsia"/>
          <w:sz w:val="28"/>
          <w:szCs w:val="28"/>
        </w:rPr>
        <w:t>人，中级职称</w:t>
      </w:r>
      <w:r>
        <w:rPr>
          <w:rFonts w:hint="eastAsia" w:asciiTheme="minorEastAsia" w:hAnsiTheme="minorEastAsia" w:eastAsiaTheme="minorEastAsia"/>
          <w:sz w:val="28"/>
          <w:szCs w:val="28"/>
        </w:rPr>
        <w:t>19</w:t>
      </w:r>
      <w:r>
        <w:rPr>
          <w:rFonts w:hint="eastAsia" w:asciiTheme="minorEastAsia" w:hAnsiTheme="minorEastAsia" w:eastAsiaTheme="minorEastAsia"/>
          <w:sz w:val="28"/>
          <w:szCs w:val="28"/>
          <w:lang w:val="en-US" w:eastAsia="zh-CN"/>
        </w:rPr>
        <w:t>3</w:t>
      </w:r>
      <w:r>
        <w:rPr>
          <w:rFonts w:asciiTheme="minorEastAsia" w:hAnsiTheme="minorEastAsia" w:eastAsiaTheme="minorEastAsia"/>
          <w:sz w:val="28"/>
          <w:szCs w:val="28"/>
        </w:rPr>
        <w:t xml:space="preserve">人，具有硕士及以上学位 </w:t>
      </w:r>
      <w:r>
        <w:rPr>
          <w:rFonts w:hint="eastAsia" w:asciiTheme="minorEastAsia" w:hAnsiTheme="minorEastAsia" w:eastAsiaTheme="minorEastAsia"/>
          <w:sz w:val="28"/>
          <w:szCs w:val="28"/>
        </w:rPr>
        <w:t>354</w:t>
      </w:r>
      <w:r>
        <w:rPr>
          <w:rFonts w:asciiTheme="minorEastAsia" w:hAnsiTheme="minorEastAsia" w:eastAsiaTheme="minorEastAsia"/>
          <w:sz w:val="28"/>
          <w:szCs w:val="28"/>
        </w:rPr>
        <w:t xml:space="preserve"> 人</w:t>
      </w:r>
      <w:r>
        <w:rPr>
          <w:rFonts w:hint="eastAsia" w:asciiTheme="minorEastAsia" w:hAnsiTheme="minorEastAsia" w:eastAsiaTheme="minorEastAsia"/>
          <w:sz w:val="28"/>
          <w:szCs w:val="28"/>
        </w:rPr>
        <w:t>，</w:t>
      </w:r>
      <w:r>
        <w:rPr>
          <w:rFonts w:asciiTheme="minorEastAsia" w:hAnsiTheme="minorEastAsia" w:eastAsiaTheme="minorEastAsia"/>
          <w:sz w:val="28"/>
          <w:szCs w:val="28"/>
        </w:rPr>
        <w:t>教育部和省级国内访问学者</w:t>
      </w:r>
      <w:r>
        <w:rPr>
          <w:rFonts w:hint="eastAsia" w:asciiTheme="minorEastAsia" w:hAnsiTheme="minorEastAsia" w:eastAsiaTheme="minorEastAsia"/>
          <w:sz w:val="28"/>
          <w:szCs w:val="28"/>
        </w:rPr>
        <w:t>52</w:t>
      </w:r>
      <w:r>
        <w:rPr>
          <w:rFonts w:asciiTheme="minorEastAsia" w:hAnsiTheme="minorEastAsia" w:eastAsiaTheme="minorEastAsia"/>
          <w:sz w:val="28"/>
          <w:szCs w:val="28"/>
        </w:rPr>
        <w:t>人，省级学科带头人</w:t>
      </w:r>
      <w:r>
        <w:rPr>
          <w:rFonts w:hint="eastAsia" w:asciiTheme="minorEastAsia" w:hAnsiTheme="minorEastAsia" w:eastAsiaTheme="minorEastAsia"/>
          <w:sz w:val="28"/>
          <w:szCs w:val="28"/>
        </w:rPr>
        <w:t>1人，省级</w:t>
      </w:r>
      <w:r>
        <w:rPr>
          <w:rFonts w:asciiTheme="minorEastAsia" w:hAnsiTheme="minorEastAsia" w:eastAsiaTheme="minorEastAsia"/>
          <w:sz w:val="28"/>
          <w:szCs w:val="28"/>
        </w:rPr>
        <w:t>专业带头人</w:t>
      </w:r>
      <w:r>
        <w:rPr>
          <w:rFonts w:hint="eastAsia" w:asciiTheme="minorEastAsia" w:hAnsiTheme="minorEastAsia" w:eastAsiaTheme="minorEastAsia"/>
          <w:sz w:val="28"/>
          <w:szCs w:val="28"/>
        </w:rPr>
        <w:t>4</w:t>
      </w:r>
      <w:r>
        <w:rPr>
          <w:rFonts w:asciiTheme="minorEastAsia" w:hAnsiTheme="minorEastAsia" w:eastAsiaTheme="minorEastAsia"/>
          <w:sz w:val="28"/>
          <w:szCs w:val="28"/>
        </w:rPr>
        <w:t>人，省级青年骨干教师</w:t>
      </w:r>
      <w:r>
        <w:rPr>
          <w:rFonts w:hint="eastAsia" w:asciiTheme="minorEastAsia" w:hAnsiTheme="minorEastAsia" w:eastAsiaTheme="minorEastAsia"/>
          <w:sz w:val="28"/>
          <w:szCs w:val="28"/>
        </w:rPr>
        <w:t>24</w:t>
      </w:r>
      <w:r>
        <w:rPr>
          <w:rFonts w:asciiTheme="minorEastAsia" w:hAnsiTheme="minorEastAsia" w:eastAsiaTheme="minorEastAsia"/>
          <w:sz w:val="28"/>
          <w:szCs w:val="28"/>
        </w:rPr>
        <w:t>人</w:t>
      </w:r>
      <w:r>
        <w:rPr>
          <w:rFonts w:hint="eastAsia" w:asciiTheme="minorEastAsia" w:hAnsiTheme="minorEastAsia" w:eastAsiaTheme="minorEastAsia"/>
          <w:sz w:val="28"/>
          <w:szCs w:val="28"/>
        </w:rPr>
        <w:t>。</w:t>
      </w:r>
    </w:p>
    <w:p w14:paraId="1EDF6EC8">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w:t>
      </w:r>
      <w:r>
        <w:rPr>
          <w:rFonts w:asciiTheme="minorEastAsia" w:hAnsiTheme="minorEastAsia" w:eastAsiaTheme="minorEastAsia"/>
          <w:sz w:val="28"/>
          <w:szCs w:val="28"/>
        </w:rPr>
        <w:t>院始终按事业单位登记管理局核准登记的业务范围开展业务活动：培养高等专科、成人教育、五年制高职、中专及高级技工学历技能型应用人才，从事工学、理学、经济学、文学等相关学科研究、继续教育、职业技能培训与鉴定，结合实践教学实施科研与产品开发、学术交流和相关社会服务。</w:t>
      </w:r>
    </w:p>
    <w:p w14:paraId="212893E3">
      <w:pPr>
        <w:numPr>
          <w:ilvl w:val="0"/>
          <w:numId w:val="1"/>
        </w:num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部门整体支出规模、使用方向和主要内容、涉及范围等。 </w:t>
      </w:r>
    </w:p>
    <w:p w14:paraId="4DFA4E18">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整体支出（不含公共项目支出7439.77万元）19279.88万元，其中基本支出14488.22万元，主要用于学院人员经费支出和日常公用经费支出；项目支出4791.66万元，主要用于基本支出以外的学院日常运行支出和项目支出。</w:t>
      </w:r>
    </w:p>
    <w:p w14:paraId="154A68A3">
      <w:pPr>
        <w:spacing w:line="576" w:lineRule="exact"/>
        <w:ind w:firstLine="800" w:firstLineChars="250"/>
        <w:rPr>
          <w:rFonts w:ascii="Times New Roman" w:hAnsi="Times New Roman" w:eastAsia="黑体"/>
          <w:bCs/>
          <w:sz w:val="32"/>
          <w:szCs w:val="32"/>
        </w:rPr>
      </w:pPr>
      <w:r>
        <w:rPr>
          <w:rFonts w:ascii="Times New Roman" w:hAnsi="Times New Roman" w:eastAsia="黑体"/>
          <w:bCs/>
          <w:sz w:val="32"/>
          <w:szCs w:val="32"/>
        </w:rPr>
        <w:t xml:space="preserve">二、部门整体支出管理及使用情况 </w:t>
      </w:r>
    </w:p>
    <w:p w14:paraId="63EF3195">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（一）基本支出 </w:t>
      </w:r>
    </w:p>
    <w:p w14:paraId="52364801">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年学院</w:t>
      </w:r>
      <w:r>
        <w:rPr>
          <w:rFonts w:hint="eastAsia" w:asciiTheme="minorEastAsia" w:hAnsiTheme="minorEastAsia" w:eastAsiaTheme="minorEastAsia"/>
          <w:sz w:val="28"/>
          <w:szCs w:val="28"/>
        </w:rPr>
        <w:t>严格按照年初预算批复和学院财务制度开展经济活动。全面保障了学院教育教学、科学研究、招生就业等各项工作的顺利实施与开展。2020年学院</w:t>
      </w:r>
      <w:r>
        <w:rPr>
          <w:rFonts w:asciiTheme="minorEastAsia" w:hAnsiTheme="minorEastAsia" w:eastAsiaTheme="minorEastAsia"/>
          <w:sz w:val="28"/>
          <w:szCs w:val="28"/>
        </w:rPr>
        <w:t>基本支出</w:t>
      </w:r>
      <w:r>
        <w:rPr>
          <w:rFonts w:hint="eastAsia" w:asciiTheme="minorEastAsia" w:hAnsiTheme="minorEastAsia" w:eastAsiaTheme="minorEastAsia"/>
          <w:sz w:val="28"/>
          <w:szCs w:val="28"/>
        </w:rPr>
        <w:t>14488.22万</w:t>
      </w:r>
      <w:r>
        <w:rPr>
          <w:rFonts w:asciiTheme="minorEastAsia" w:hAnsiTheme="minorEastAsia" w:eastAsiaTheme="minorEastAsia"/>
          <w:sz w:val="28"/>
          <w:szCs w:val="28"/>
        </w:rPr>
        <w:t>元，其中人员经费</w:t>
      </w:r>
      <w:r>
        <w:rPr>
          <w:rFonts w:hint="eastAsia" w:asciiTheme="minorEastAsia" w:hAnsiTheme="minorEastAsia" w:eastAsiaTheme="minorEastAsia"/>
          <w:sz w:val="28"/>
          <w:szCs w:val="28"/>
        </w:rPr>
        <w:t>13548.06</w:t>
      </w:r>
      <w:r>
        <w:rPr>
          <w:rFonts w:asciiTheme="minorEastAsia" w:hAnsiTheme="minorEastAsia" w:eastAsiaTheme="minorEastAsia"/>
          <w:sz w:val="28"/>
          <w:szCs w:val="28"/>
        </w:rPr>
        <w:t>万元，日常公用经费</w:t>
      </w:r>
      <w:r>
        <w:rPr>
          <w:rFonts w:hint="eastAsia" w:asciiTheme="minorEastAsia" w:hAnsiTheme="minorEastAsia" w:eastAsiaTheme="minorEastAsia"/>
          <w:sz w:val="28"/>
          <w:szCs w:val="28"/>
        </w:rPr>
        <w:t>940.16万</w:t>
      </w:r>
      <w:r>
        <w:rPr>
          <w:rFonts w:asciiTheme="minorEastAsia" w:hAnsiTheme="minorEastAsia" w:eastAsiaTheme="minorEastAsia"/>
          <w:sz w:val="28"/>
          <w:szCs w:val="28"/>
        </w:rPr>
        <w:t>元。20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年学院“三公”经费合计</w:t>
      </w:r>
      <w:r>
        <w:rPr>
          <w:rFonts w:hint="eastAsia" w:asciiTheme="minorEastAsia" w:hAnsiTheme="minorEastAsia" w:eastAsiaTheme="minorEastAsia"/>
          <w:sz w:val="28"/>
          <w:szCs w:val="28"/>
        </w:rPr>
        <w:t>11.14万</w:t>
      </w:r>
      <w:r>
        <w:rPr>
          <w:rFonts w:asciiTheme="minorEastAsia" w:hAnsiTheme="minorEastAsia" w:eastAsiaTheme="minorEastAsia"/>
          <w:sz w:val="28"/>
          <w:szCs w:val="28"/>
        </w:rPr>
        <w:t>元，其中公务用车购置和维护经费</w:t>
      </w:r>
      <w:r>
        <w:rPr>
          <w:rFonts w:hint="eastAsia" w:asciiTheme="minorEastAsia" w:hAnsiTheme="minorEastAsia" w:eastAsiaTheme="minorEastAsia"/>
          <w:sz w:val="28"/>
          <w:szCs w:val="28"/>
        </w:rPr>
        <w:t>9.53万</w:t>
      </w:r>
      <w:r>
        <w:rPr>
          <w:rFonts w:asciiTheme="minorEastAsia" w:hAnsiTheme="minorEastAsia" w:eastAsiaTheme="minorEastAsia"/>
          <w:sz w:val="28"/>
          <w:szCs w:val="28"/>
        </w:rPr>
        <w:t>元（全部为公车运行维护费），因公出国（境）经费0元，公务接待费1</w:t>
      </w:r>
      <w:r>
        <w:rPr>
          <w:rFonts w:hint="eastAsia" w:asciiTheme="minorEastAsia" w:hAnsiTheme="minorEastAsia" w:eastAsiaTheme="minorEastAsia"/>
          <w:sz w:val="28"/>
          <w:szCs w:val="28"/>
        </w:rPr>
        <w:t>.</w:t>
      </w:r>
      <w:r>
        <w:rPr>
          <w:rFonts w:asciiTheme="minorEastAsia" w:hAnsiTheme="minorEastAsia" w:eastAsiaTheme="minorEastAsia"/>
          <w:sz w:val="28"/>
          <w:szCs w:val="28"/>
        </w:rPr>
        <w:t>6</w:t>
      </w:r>
      <w:r>
        <w:rPr>
          <w:rFonts w:hint="eastAsia" w:asciiTheme="minorEastAsia" w:hAnsiTheme="minorEastAsia" w:eastAsiaTheme="minorEastAsia"/>
          <w:sz w:val="28"/>
          <w:szCs w:val="28"/>
        </w:rPr>
        <w:t>1万</w:t>
      </w:r>
      <w:r>
        <w:rPr>
          <w:rFonts w:asciiTheme="minorEastAsia" w:hAnsiTheme="minorEastAsia" w:eastAsiaTheme="minorEastAsia"/>
          <w:sz w:val="28"/>
          <w:szCs w:val="28"/>
        </w:rPr>
        <w:t>元。20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年学院认真贯彻落实中央“八项规定”和厉行节约要求，进一步从严控制“三公”经费支出，</w:t>
      </w:r>
      <w:r>
        <w:rPr>
          <w:rFonts w:hint="eastAsia" w:asciiTheme="minorEastAsia" w:hAnsiTheme="minorEastAsia" w:eastAsiaTheme="minorEastAsia"/>
          <w:sz w:val="28"/>
          <w:szCs w:val="28"/>
        </w:rPr>
        <w:t>较2019年减少28.07万元。</w:t>
      </w:r>
    </w:p>
    <w:p w14:paraId="2186194B">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（二）项目支出 </w:t>
      </w:r>
    </w:p>
    <w:p w14:paraId="68482ED3">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年学院项目支出（不含</w:t>
      </w:r>
      <w:r>
        <w:rPr>
          <w:rFonts w:hint="eastAsia" w:asciiTheme="minorEastAsia" w:hAnsiTheme="minorEastAsia" w:eastAsiaTheme="minorEastAsia"/>
          <w:sz w:val="28"/>
          <w:szCs w:val="28"/>
        </w:rPr>
        <w:t>公共项目</w:t>
      </w:r>
      <w:r>
        <w:rPr>
          <w:rFonts w:asciiTheme="minorEastAsia" w:hAnsiTheme="minorEastAsia" w:eastAsiaTheme="minorEastAsia"/>
          <w:sz w:val="28"/>
          <w:szCs w:val="28"/>
        </w:rPr>
        <w:t>支出）共投入</w:t>
      </w:r>
      <w:r>
        <w:rPr>
          <w:rFonts w:hint="eastAsia" w:asciiTheme="minorEastAsia" w:hAnsiTheme="minorEastAsia" w:eastAsiaTheme="minorEastAsia"/>
          <w:sz w:val="28"/>
          <w:szCs w:val="28"/>
        </w:rPr>
        <w:t>4791.66万</w:t>
      </w:r>
      <w:r>
        <w:rPr>
          <w:rFonts w:asciiTheme="minorEastAsia" w:hAnsiTheme="minorEastAsia" w:eastAsiaTheme="minorEastAsia"/>
          <w:sz w:val="28"/>
          <w:szCs w:val="28"/>
        </w:rPr>
        <w:t>元，其中一般公共财政预算</w:t>
      </w:r>
      <w:r>
        <w:rPr>
          <w:rFonts w:hint="eastAsia" w:asciiTheme="minorEastAsia" w:hAnsiTheme="minorEastAsia" w:eastAsiaTheme="minorEastAsia"/>
          <w:sz w:val="28"/>
          <w:szCs w:val="28"/>
        </w:rPr>
        <w:t>投入4273.13万</w:t>
      </w:r>
      <w:r>
        <w:rPr>
          <w:rFonts w:asciiTheme="minorEastAsia" w:hAnsiTheme="minorEastAsia" w:eastAsiaTheme="minorEastAsia"/>
          <w:sz w:val="28"/>
          <w:szCs w:val="28"/>
        </w:rPr>
        <w:t>元,</w:t>
      </w:r>
      <w:r>
        <w:rPr>
          <w:rFonts w:hint="eastAsia" w:asciiTheme="minorEastAsia" w:hAnsiTheme="minorEastAsia" w:eastAsiaTheme="minorEastAsia"/>
          <w:sz w:val="28"/>
          <w:szCs w:val="28"/>
        </w:rPr>
        <w:t>预算外资金投入518.53万</w:t>
      </w:r>
      <w:r>
        <w:rPr>
          <w:rFonts w:asciiTheme="minorEastAsia" w:hAnsiTheme="minorEastAsia" w:eastAsiaTheme="minorEastAsia"/>
          <w:sz w:val="28"/>
          <w:szCs w:val="28"/>
        </w:rPr>
        <w:t>元。项目支出主要用于教学业务、学生事务、后勤保障、行政管理、人才引进与培养、校园环境改造与维修、专业群及实验室建设、信息化建设等方面。</w:t>
      </w:r>
    </w:p>
    <w:p w14:paraId="79549772">
      <w:pPr>
        <w:spacing w:line="576" w:lineRule="exact"/>
        <w:ind w:firstLine="560" w:firstLineChars="200"/>
        <w:rPr>
          <w:rFonts w:cs="仿宋" w:asciiTheme="minorEastAsia" w:hAnsiTheme="minorEastAsia" w:eastAsiaTheme="minorEastAsia"/>
          <w:sz w:val="28"/>
          <w:szCs w:val="28"/>
        </w:rPr>
      </w:pPr>
      <w:r>
        <w:rPr>
          <w:rFonts w:hint="eastAsia" w:asciiTheme="minorEastAsia" w:hAnsiTheme="minorEastAsia" w:eastAsiaTheme="minorEastAsia"/>
          <w:sz w:val="28"/>
          <w:szCs w:val="28"/>
        </w:rPr>
        <w:t>学院进一步加强内控建设，修订和完善各项规章制度。2020年</w:t>
      </w:r>
      <w:r>
        <w:rPr>
          <w:rFonts w:asciiTheme="minorEastAsia" w:hAnsiTheme="minorEastAsia" w:eastAsiaTheme="minorEastAsia"/>
          <w:sz w:val="28"/>
          <w:szCs w:val="28"/>
        </w:rPr>
        <w:t>学院</w:t>
      </w:r>
      <w:r>
        <w:rPr>
          <w:rFonts w:hint="eastAsia" w:asciiTheme="minorEastAsia" w:hAnsiTheme="minorEastAsia" w:eastAsiaTheme="minorEastAsia"/>
          <w:sz w:val="28"/>
          <w:szCs w:val="28"/>
        </w:rPr>
        <w:t>修订了的制度有：</w:t>
      </w:r>
      <w:r>
        <w:rPr>
          <w:rFonts w:asciiTheme="minorEastAsia" w:hAnsiTheme="minorEastAsia" w:eastAsiaTheme="minorEastAsia"/>
          <w:sz w:val="28"/>
          <w:szCs w:val="28"/>
        </w:rPr>
        <w:t>《湖南信息职业技术学院财务管理</w:t>
      </w:r>
      <w:r>
        <w:rPr>
          <w:rFonts w:hint="eastAsia" w:asciiTheme="minorEastAsia" w:hAnsiTheme="minorEastAsia" w:eastAsiaTheme="minorEastAsia"/>
          <w:sz w:val="28"/>
          <w:szCs w:val="28"/>
        </w:rPr>
        <w:t>实施办法》、《湖南信息职业技术学院部门经济活动管理办法》、《湖南信息职业技术学院差旅费管理办法》</w:t>
      </w:r>
      <w:r>
        <w:rPr>
          <w:rFonts w:asciiTheme="minorEastAsia" w:hAnsiTheme="minorEastAsia" w:eastAsiaTheme="minorEastAsia"/>
          <w:sz w:val="28"/>
          <w:szCs w:val="28"/>
        </w:rPr>
        <w:t>《湖南信息职业技术学院</w:t>
      </w:r>
      <w:r>
        <w:rPr>
          <w:rFonts w:hint="eastAsia" w:asciiTheme="minorEastAsia" w:hAnsiTheme="minorEastAsia" w:eastAsiaTheme="minorEastAsia"/>
          <w:sz w:val="28"/>
          <w:szCs w:val="28"/>
        </w:rPr>
        <w:t>横向项目管理办法（试行）</w:t>
      </w:r>
      <w:r>
        <w:rPr>
          <w:rFonts w:asciiTheme="minorEastAsia" w:hAnsiTheme="minorEastAsia" w:eastAsiaTheme="minorEastAsia"/>
          <w:sz w:val="28"/>
          <w:szCs w:val="28"/>
        </w:rPr>
        <w:t>》《湖南信息职业技术学院</w:t>
      </w:r>
      <w:r>
        <w:rPr>
          <w:rFonts w:hint="eastAsia" w:asciiTheme="minorEastAsia" w:hAnsiTheme="minorEastAsia" w:eastAsiaTheme="minorEastAsia"/>
          <w:sz w:val="28"/>
          <w:szCs w:val="28"/>
        </w:rPr>
        <w:t>纵向项目管理办法（试行）</w:t>
      </w:r>
      <w:r>
        <w:rPr>
          <w:rFonts w:asciiTheme="minorEastAsia" w:hAnsiTheme="minorEastAsia" w:eastAsiaTheme="minorEastAsia"/>
          <w:sz w:val="28"/>
          <w:szCs w:val="28"/>
        </w:rPr>
        <w:t>》</w:t>
      </w:r>
      <w:r>
        <w:rPr>
          <w:rFonts w:hint="eastAsia" w:asciiTheme="minorEastAsia" w:hAnsiTheme="minorEastAsia" w:eastAsiaTheme="minorEastAsia"/>
          <w:sz w:val="28"/>
          <w:szCs w:val="28"/>
        </w:rPr>
        <w:t>、《湖南信息职业技术学院二级部门培训经费管理办法（试行）》、《湖南信息职业技术学院学生勤工助学管理办法》等，</w:t>
      </w:r>
      <w:r>
        <w:rPr>
          <w:rFonts w:hint="eastAsia" w:asciiTheme="minorEastAsia" w:hAnsiTheme="minorEastAsia" w:eastAsiaTheme="minorEastAsia"/>
          <w:sz w:val="28"/>
          <w:szCs w:val="28"/>
          <w:lang w:val="en-US" w:eastAsia="zh-CN"/>
        </w:rPr>
        <w:t>起草了的制度有</w:t>
      </w:r>
      <w:r>
        <w:rPr>
          <w:rFonts w:asciiTheme="minorEastAsia" w:hAnsiTheme="minorEastAsia" w:eastAsiaTheme="minorEastAsia"/>
          <w:sz w:val="28"/>
          <w:szCs w:val="28"/>
        </w:rPr>
        <w:t>《湖南信息职业技术学院基建工程、维修项目管理办法》</w:t>
      </w:r>
      <w:r>
        <w:rPr>
          <w:rFonts w:hint="eastAsia" w:asciiTheme="minorEastAsia" w:hAnsiTheme="minorEastAsia" w:eastAsiaTheme="minorEastAsia"/>
          <w:sz w:val="28"/>
          <w:szCs w:val="28"/>
        </w:rPr>
        <w:t>、</w:t>
      </w:r>
      <w:r>
        <w:rPr>
          <w:rFonts w:asciiTheme="minorEastAsia" w:hAnsiTheme="minorEastAsia" w:eastAsiaTheme="minorEastAsia"/>
          <w:sz w:val="28"/>
          <w:szCs w:val="28"/>
        </w:rPr>
        <w:t>《湖南信息职业技术学院关于工程建设项目委托第三方服务机构管理办法（试行）》</w:t>
      </w:r>
      <w:r>
        <w:rPr>
          <w:rFonts w:hint="eastAsia" w:asciiTheme="minorEastAsia" w:hAnsiTheme="minorEastAsia" w:eastAsiaTheme="minorEastAsia"/>
          <w:sz w:val="28"/>
          <w:szCs w:val="28"/>
        </w:rPr>
        <w:t>、</w:t>
      </w:r>
      <w:r>
        <w:rPr>
          <w:rFonts w:asciiTheme="minorEastAsia" w:hAnsiTheme="minorEastAsia" w:eastAsiaTheme="minorEastAsia"/>
          <w:sz w:val="28"/>
          <w:szCs w:val="28"/>
        </w:rPr>
        <w:t>《</w:t>
      </w:r>
      <w:r>
        <w:rPr>
          <w:rFonts w:hint="eastAsia" w:asciiTheme="minorEastAsia" w:hAnsiTheme="minorEastAsia" w:eastAsiaTheme="minorEastAsia"/>
          <w:sz w:val="28"/>
          <w:szCs w:val="28"/>
        </w:rPr>
        <w:t>湖南信息职业技术学院采购实施细则（试行）</w:t>
      </w:r>
      <w:r>
        <w:rPr>
          <w:rFonts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等，</w:t>
      </w:r>
      <w:r>
        <w:rPr>
          <w:rFonts w:hint="eastAsia" w:asciiTheme="minorEastAsia" w:hAnsiTheme="minorEastAsia" w:eastAsiaTheme="minorEastAsia"/>
          <w:sz w:val="28"/>
          <w:szCs w:val="28"/>
        </w:rPr>
        <w:t>不断完善内控闭环管理，促进学院各项工作规范化、透明化、制度化。</w:t>
      </w:r>
    </w:p>
    <w:p w14:paraId="6796D532">
      <w:pPr>
        <w:spacing w:line="576" w:lineRule="exact"/>
        <w:ind w:firstLine="800" w:firstLineChars="250"/>
        <w:rPr>
          <w:rFonts w:ascii="Times New Roman" w:hAnsi="Times New Roman" w:eastAsia="黑体"/>
          <w:bCs/>
          <w:sz w:val="32"/>
          <w:szCs w:val="32"/>
        </w:rPr>
      </w:pPr>
      <w:r>
        <w:rPr>
          <w:rFonts w:ascii="Times New Roman" w:hAnsi="Times New Roman" w:eastAsia="黑体"/>
          <w:bCs/>
          <w:sz w:val="32"/>
          <w:szCs w:val="32"/>
        </w:rPr>
        <w:t xml:space="preserve">三、部门项目组织实施情况 </w:t>
      </w:r>
    </w:p>
    <w:p w14:paraId="4030CDA4">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（一）项目组织情况分析</w:t>
      </w:r>
    </w:p>
    <w:p w14:paraId="7A3A0356">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1、工程建设项目</w:t>
      </w:r>
    </w:p>
    <w:p w14:paraId="3A57CF6C">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院注重民生实事和信息化建设。2020年学院对学生公寓和教学、办公等各类用房的墙面、走廊、屋顶、室内外给排水管道进行维修，完成了对部分办公及教师集体宿舍的改造，完成了软件学院创孵基地改造、机电工程学院实训室库房改造、学生宿舍防漏、道路维修、教室及办公室灯具维修、学院公有住房维修等9项重点维修工程和200余项零星维修工程，投入350万元改善学生宿舍供水、加固学生宿舍窗户、改造实验室软硬件环境设备等，较好地改善了师生学习和生活环境，消除了校园安全隐患，保障了学院的教学和其他日常工作的正常开展。各项工程建设项目严格执行《湖南信息职业技术学院基建工程、维修项目管理办法》、《湖南信息职业技术学院基建工程签证管理办法》、《湖南信息职业技术学院采购管理办法（试行）》、《湖南信息职业技术学院财务管理实施办法》等文件，对项目立项报批、工程招投标、设计与施工、资金管理、财评送审和竣工验收等环节实施全过程管理和监督，注重提高学院财政资金使用效益。</w:t>
      </w:r>
    </w:p>
    <w:p w14:paraId="4CE61214">
      <w:pPr>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学院积极推进新校区建设项目进展，2020年4月3日，长沙市望城区发展和改革局下达了我院新校区初步设计概算批复（望发改概审〔2020〕01号）；2020年4月9日，长沙市水利局下发了我院新校区水土保持批复（长水保许决〔2020〕66号）；2020年10月19日，长沙市望城区人民政府下达关于我院新校区建设项目（一期）国有建设用地划拨决定书及国有建设用地使用权划拨审批单;2020年11月13日,新校区建设项目（一期）在长沙市公共资源交易中心挂网公开招标；2020年11月25日,长沙市自然资源和规划局望城分局下达关于我院新校区建设项目（一期）不动产权证书；2020年12月28日,新校区建设项目(一期）设计施工总承包（EPC）开标， 2021年1月22日，学院举行新校区建设项目开工动员，正式开工。</w:t>
      </w:r>
    </w:p>
    <w:p w14:paraId="1CF00290">
      <w:pPr>
        <w:numPr>
          <w:ilvl w:val="0"/>
          <w:numId w:val="2"/>
        </w:num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教育教学项目</w:t>
      </w:r>
    </w:p>
    <w:p w14:paraId="405461C1">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院督导与绩效管理处起草了《湖南信息职业技术学院内部质量诊断改进工作实施方案》，完成了质量诊改平台建设，推进学院专业、课程、教师层面的诊改，学院教学工作提速提质加强内涵建设。完成31个“课程思政”项目和20个“优质课堂”项目验收；我院人才培养质量年度报告再次被省教育厅评为A等，合规性位居全省第13名，2个案例入选省人才培养质量年度报告。</w:t>
      </w:r>
    </w:p>
    <w:p w14:paraId="3B19AC3C">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3、人才队伍建设项目</w:t>
      </w:r>
    </w:p>
    <w:p w14:paraId="7774AABD">
      <w:pPr>
        <w:spacing w:line="576"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2020年学院通过岗位设置方案，推进了全院岗位设置与聘用晋级工作；进一步深化绩效考核与分配改革，完善绩效考核文件，激发教职工干事创业活力；完成了在职人员的档案整理及信息化整理工作；加强了师德师风建设，出台并实施了我院教师《职业行为负面清单及师德失范行为处理办法》。</w:t>
      </w:r>
    </w:p>
    <w:p w14:paraId="310F13D3">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（二）项目管理情况</w:t>
      </w:r>
      <w:r>
        <w:rPr>
          <w:rFonts w:asciiTheme="minorEastAsia" w:hAnsiTheme="minorEastAsia" w:eastAsiaTheme="minorEastAsia"/>
          <w:sz w:val="28"/>
          <w:szCs w:val="28"/>
        </w:rPr>
        <w:t>分析</w:t>
      </w:r>
    </w:p>
    <w:p w14:paraId="418444D7">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1、实施项目预算绩效管理，提高项目预算执行率</w:t>
      </w:r>
    </w:p>
    <w:p w14:paraId="403170F4">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对各项目实施预算绩效管理，制定项目年度绩效目标。在预算执行过程中，定期公示项目预算执行情况，督促项目开展和资金使用进度。2020年学院整体预算执行率达90.42%，对比2019年整体预算执行率73.13%，有较大幅度提高。</w:t>
      </w:r>
    </w:p>
    <w:p w14:paraId="35EAC20E">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asciiTheme="minorEastAsia" w:hAnsiTheme="minorEastAsia" w:eastAsiaTheme="minorEastAsia"/>
          <w:sz w:val="28"/>
          <w:szCs w:val="28"/>
        </w:rPr>
        <w:t>健全项目建设、管理办法，确保项目顺利推进。</w:t>
      </w:r>
    </w:p>
    <w:p w14:paraId="223C4391">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w:t>
      </w:r>
      <w:r>
        <w:rPr>
          <w:rFonts w:hint="eastAsia" w:asciiTheme="minorEastAsia" w:hAnsiTheme="minorEastAsia" w:eastAsiaTheme="minorEastAsia"/>
          <w:sz w:val="28"/>
          <w:szCs w:val="28"/>
          <w:lang w:val="en-US" w:eastAsia="zh-CN"/>
        </w:rPr>
        <w:t>起草</w:t>
      </w:r>
      <w:r>
        <w:rPr>
          <w:rFonts w:hint="eastAsia" w:asciiTheme="minorEastAsia" w:hAnsiTheme="minorEastAsia" w:eastAsiaTheme="minorEastAsia"/>
          <w:sz w:val="28"/>
          <w:szCs w:val="28"/>
        </w:rPr>
        <w:t>了《学院施工备案及环境管理暂行办法》《湖南信息职业技术学院基建工程、维修项目管理办法》、《湖南信息职业技术学院基建工程、维修项目签证管理办法》和《湖南信息职业技术学院关于工程建设项目委托第三方服务机构管理办法（试行）》。制度中规范了学院基建工程、维修项目申报立项审批、施工管理和竣工验收、项目审计和结算等方面工作流程；规定了项目资质管理、实施范围、组织机构、施工单位确定及施工合同管理、项目签证、质量保证等内容。通过委托第三方设计与造价咨询机构提高质量管控和加强成本管理等等。这些管理措施从源头控制（如项目启动条件、承发包管理等）、过程跟踪（如项目签证制度、项目现场管理制度等）、全面评价（如施工监理、投资监理、履约评价）等多方面对项目进行管理，从而确保了项目的顺利实施。</w:t>
      </w:r>
    </w:p>
    <w:p w14:paraId="31AEE5D0">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3、注重全过程管理，确保施工安全。</w:t>
      </w:r>
    </w:p>
    <w:p w14:paraId="56E52F54">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《湖南信息职业技术学院基建工程、维修项目管理办法》</w:t>
      </w:r>
      <w:r>
        <w:rPr>
          <w:rFonts w:asciiTheme="minorEastAsia" w:hAnsiTheme="minorEastAsia" w:eastAsiaTheme="minorEastAsia"/>
          <w:sz w:val="28"/>
          <w:szCs w:val="28"/>
        </w:rPr>
        <w:t>中制定有相关的安全管理条款，这些条款规定了</w:t>
      </w:r>
      <w:r>
        <w:rPr>
          <w:rFonts w:hint="eastAsia" w:asciiTheme="minorEastAsia" w:hAnsiTheme="minorEastAsia" w:eastAsiaTheme="minorEastAsia"/>
          <w:sz w:val="28"/>
          <w:szCs w:val="28"/>
        </w:rPr>
        <w:t>基建工程、维修项目</w:t>
      </w:r>
      <w:r>
        <w:rPr>
          <w:rFonts w:asciiTheme="minorEastAsia" w:hAnsiTheme="minorEastAsia" w:eastAsiaTheme="minorEastAsia"/>
          <w:sz w:val="28"/>
          <w:szCs w:val="28"/>
        </w:rPr>
        <w:t>安全管理第一责任人为施工单位和建设单位；施工过程中，</w:t>
      </w:r>
      <w:r>
        <w:rPr>
          <w:rFonts w:hint="eastAsia" w:asciiTheme="minorEastAsia" w:hAnsiTheme="minorEastAsia" w:eastAsiaTheme="minorEastAsia"/>
          <w:sz w:val="28"/>
          <w:szCs w:val="28"/>
        </w:rPr>
        <w:t>学院</w:t>
      </w:r>
      <w:r>
        <w:rPr>
          <w:rFonts w:asciiTheme="minorEastAsia" w:hAnsiTheme="minorEastAsia" w:eastAsiaTheme="minorEastAsia"/>
          <w:sz w:val="28"/>
          <w:szCs w:val="28"/>
        </w:rPr>
        <w:t>会组织</w:t>
      </w:r>
      <w:r>
        <w:rPr>
          <w:rFonts w:hint="eastAsia" w:asciiTheme="minorEastAsia" w:hAnsiTheme="minorEastAsia" w:eastAsiaTheme="minorEastAsia"/>
          <w:sz w:val="28"/>
          <w:szCs w:val="28"/>
        </w:rPr>
        <w:t>相关职能部门工作</w:t>
      </w:r>
      <w:r>
        <w:rPr>
          <w:rFonts w:asciiTheme="minorEastAsia" w:hAnsiTheme="minorEastAsia" w:eastAsiaTheme="minorEastAsia"/>
          <w:sz w:val="28"/>
          <w:szCs w:val="28"/>
        </w:rPr>
        <w:t>人员进行交叉检查，重点就是检查施工安全情况和施工质量情况；施工过程中建设单位和施工监理单位还会全程跟踪，确保项目安全施工。</w:t>
      </w:r>
    </w:p>
    <w:p w14:paraId="26AB448C">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在《</w:t>
      </w:r>
      <w:r>
        <w:rPr>
          <w:rFonts w:asciiTheme="minorEastAsia" w:hAnsiTheme="minorEastAsia" w:eastAsiaTheme="minorEastAsia"/>
          <w:sz w:val="28"/>
          <w:szCs w:val="28"/>
        </w:rPr>
        <w:t>学院基建工程、维修项目签证管理办法》</w:t>
      </w:r>
      <w:r>
        <w:rPr>
          <w:rFonts w:hint="eastAsia" w:asciiTheme="minorEastAsia" w:hAnsiTheme="minorEastAsia" w:eastAsiaTheme="minorEastAsia"/>
          <w:sz w:val="28"/>
          <w:szCs w:val="28"/>
        </w:rPr>
        <w:t>中规定，</w:t>
      </w:r>
      <w:r>
        <w:rPr>
          <w:rFonts w:asciiTheme="minorEastAsia" w:hAnsiTheme="minorEastAsia" w:eastAsiaTheme="minorEastAsia"/>
          <w:sz w:val="28"/>
          <w:szCs w:val="28"/>
        </w:rPr>
        <w:t>施工过程中，严格质量管理，维修项目由职能部门和使用部门共同管理，新建项目由职能部门和监理单位共同监管，严格控制项目工程量调整，根据实际需要调整的报学院相关领导批准后，由职能部门与审计部门共同签证，作为结算依据，签证金额不得超过合同价的10%。</w:t>
      </w:r>
    </w:p>
    <w:p w14:paraId="5241B558">
      <w:pPr>
        <w:spacing w:line="576" w:lineRule="exact"/>
        <w:ind w:firstLine="560" w:firstLineChars="200"/>
        <w:rPr>
          <w:rFonts w:cs="微软雅黑" w:asciiTheme="minorEastAsia" w:hAnsiTheme="minorEastAsia" w:eastAsiaTheme="minorEastAsia"/>
          <w:sz w:val="28"/>
          <w:szCs w:val="28"/>
        </w:rPr>
      </w:pPr>
      <w:r>
        <w:rPr>
          <w:rFonts w:hint="eastAsia" w:asciiTheme="minorEastAsia" w:hAnsiTheme="minorEastAsia" w:eastAsiaTheme="minorEastAsia"/>
          <w:sz w:val="28"/>
          <w:szCs w:val="28"/>
        </w:rPr>
        <w:t>为进一步加强项目施工的过程管理，后勤处还制立了项目现场日常管理台账等管理制度，以“项目化”“台账化”管理方式构建现代后勤管理模式，工作流程更清晰，人员职责更分明，由各项目负责人记录项目过程实施情况，能够详细全面的反映项目进度及成本效益情况，协调施工过程中的内外部关系。</w:t>
      </w:r>
    </w:p>
    <w:p w14:paraId="4FDEF204">
      <w:pPr>
        <w:ind w:firstLine="643" w:firstLineChars="200"/>
        <w:rPr>
          <w:rFonts w:ascii="黑体" w:hAnsi="黑体" w:eastAsia="黑体"/>
          <w:b/>
          <w:bCs/>
          <w:sz w:val="32"/>
          <w:szCs w:val="32"/>
        </w:rPr>
      </w:pPr>
      <w:r>
        <w:rPr>
          <w:rFonts w:ascii="黑体" w:hAnsi="黑体" w:eastAsia="黑体"/>
          <w:b/>
          <w:bCs/>
          <w:sz w:val="32"/>
          <w:szCs w:val="32"/>
        </w:rPr>
        <w:t xml:space="preserve">四、资产管理情况 </w:t>
      </w:r>
    </w:p>
    <w:p w14:paraId="29C70C67">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一</w:t>
      </w:r>
      <w:r>
        <w:rPr>
          <w:rFonts w:asciiTheme="minorEastAsia" w:hAnsiTheme="minorEastAsia" w:eastAsiaTheme="minorEastAsia"/>
          <w:sz w:val="28"/>
          <w:szCs w:val="28"/>
        </w:rPr>
        <w:t>）</w:t>
      </w:r>
      <w:r>
        <w:rPr>
          <w:rFonts w:hint="eastAsia" w:asciiTheme="minorEastAsia" w:hAnsiTheme="minorEastAsia" w:eastAsiaTheme="minorEastAsia"/>
          <w:sz w:val="28"/>
          <w:szCs w:val="28"/>
        </w:rPr>
        <w:t>学院资产总体</w:t>
      </w:r>
      <w:r>
        <w:rPr>
          <w:rFonts w:asciiTheme="minorEastAsia" w:hAnsiTheme="minorEastAsia" w:eastAsiaTheme="minorEastAsia"/>
          <w:sz w:val="28"/>
          <w:szCs w:val="28"/>
        </w:rPr>
        <w:t>情况</w:t>
      </w:r>
    </w:p>
    <w:p w14:paraId="71B317AF">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1、固定资产构成情况。</w:t>
      </w:r>
    </w:p>
    <w:p w14:paraId="606C9D0C">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学院2020年末</w:t>
      </w:r>
      <w:r>
        <w:rPr>
          <w:rFonts w:asciiTheme="minorEastAsia" w:hAnsiTheme="minorEastAsia" w:eastAsiaTheme="minorEastAsia"/>
          <w:sz w:val="28"/>
          <w:szCs w:val="28"/>
        </w:rPr>
        <w:t>固定资产账面数原值28688.19万元，其中：土地、房屋及构筑物17159.73元，占固定资产的59.81%；通用设备6942.34万元，占24.20%；专用设备1544.96万元，占5.38%；文物和陈列品2.54万元，占0.01%；图书档案206.88万元，占0.72%；家具、用具、装具及动植物827.87万元，占 2.89%。无形资产2003.86万元，占6.98%。</w:t>
      </w:r>
    </w:p>
    <w:p w14:paraId="54384BFD">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2、资产配置情况</w:t>
      </w:r>
    </w:p>
    <w:p w14:paraId="1716E042">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w:t>
      </w:r>
      <w:r>
        <w:rPr>
          <w:rFonts w:asciiTheme="minorEastAsia" w:hAnsiTheme="minorEastAsia" w:eastAsiaTheme="minorEastAsia"/>
          <w:sz w:val="28"/>
          <w:szCs w:val="28"/>
        </w:rPr>
        <w:t>新增固定资产1337.56万元。从资产类别分析，新增土地、房屋及构筑物141.40万元，占10.57%；新增通用设备544件，总价值697.84元，占52.17%；新增专用设备184件，总价值217.14万元，占16.23%；新增文物和陈列品0万元，占0%；新增图书档案4962本，总价值20.51万元，占1.53%；新增家具、用具、装具129个，总价值23.14万元，占1.73%。</w:t>
      </w:r>
    </w:p>
    <w:p w14:paraId="11D644E2">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2020年</w:t>
      </w:r>
      <w:r>
        <w:rPr>
          <w:rFonts w:hint="eastAsia" w:asciiTheme="minorEastAsia" w:hAnsiTheme="minorEastAsia" w:eastAsiaTheme="minorEastAsia"/>
          <w:sz w:val="28"/>
          <w:szCs w:val="28"/>
        </w:rPr>
        <w:t>学院</w:t>
      </w:r>
      <w:r>
        <w:rPr>
          <w:rFonts w:asciiTheme="minorEastAsia" w:hAnsiTheme="minorEastAsia" w:eastAsiaTheme="minorEastAsia"/>
          <w:sz w:val="28"/>
          <w:szCs w:val="28"/>
        </w:rPr>
        <w:t>新增无形资产18项，总价值237.53万元，占17.76%。从配置方向来看，18项新增无形资产均为教学及管理服务用软件平台。</w:t>
      </w:r>
    </w:p>
    <w:p w14:paraId="17ED3C66">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3、资产处置情况</w:t>
      </w:r>
    </w:p>
    <w:p w14:paraId="4BA584A8">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（1）2020年初</w:t>
      </w:r>
      <w:r>
        <w:rPr>
          <w:rFonts w:hint="eastAsia" w:asciiTheme="minorEastAsia" w:hAnsiTheme="minorEastAsia" w:eastAsiaTheme="minorEastAsia"/>
          <w:sz w:val="28"/>
          <w:szCs w:val="28"/>
        </w:rPr>
        <w:t>学</w:t>
      </w:r>
      <w:r>
        <w:rPr>
          <w:rFonts w:asciiTheme="minorEastAsia" w:hAnsiTheme="minorEastAsia" w:eastAsiaTheme="minorEastAsia"/>
          <w:sz w:val="28"/>
          <w:szCs w:val="28"/>
        </w:rPr>
        <w:t>院完成了21684554.98元报废资产的销账处理。</w:t>
      </w:r>
    </w:p>
    <w:p w14:paraId="1F65B7BF">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（2）2020年</w:t>
      </w:r>
      <w:r>
        <w:rPr>
          <w:rFonts w:hint="eastAsia" w:asciiTheme="minorEastAsia" w:hAnsiTheme="minorEastAsia" w:eastAsiaTheme="minorEastAsia"/>
          <w:sz w:val="28"/>
          <w:szCs w:val="28"/>
        </w:rPr>
        <w:t>学院开展</w:t>
      </w:r>
      <w:r>
        <w:rPr>
          <w:rFonts w:asciiTheme="minorEastAsia" w:hAnsiTheme="minorEastAsia" w:eastAsiaTheme="minorEastAsia"/>
          <w:sz w:val="28"/>
          <w:szCs w:val="28"/>
        </w:rPr>
        <w:t>资产清查</w:t>
      </w:r>
      <w:r>
        <w:rPr>
          <w:rFonts w:hint="eastAsia" w:asciiTheme="minorEastAsia" w:hAnsiTheme="minorEastAsia" w:eastAsiaTheme="minorEastAsia"/>
          <w:sz w:val="28"/>
          <w:szCs w:val="28"/>
        </w:rPr>
        <w:t>工作</w:t>
      </w:r>
      <w:r>
        <w:rPr>
          <w:rFonts w:asciiTheme="minorEastAsia" w:hAnsiTheme="minorEastAsia" w:eastAsiaTheme="minorEastAsia"/>
          <w:sz w:val="28"/>
          <w:szCs w:val="28"/>
        </w:rPr>
        <w:t>，各部门提交了账面值760.45万元的报废资产，现已完成此批报废资产的实物核实。</w:t>
      </w:r>
    </w:p>
    <w:p w14:paraId="58866A14">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（3）2020年</w:t>
      </w:r>
      <w:r>
        <w:rPr>
          <w:rFonts w:hint="eastAsia" w:asciiTheme="minorEastAsia" w:hAnsiTheme="minorEastAsia" w:eastAsiaTheme="minorEastAsia"/>
          <w:sz w:val="28"/>
          <w:szCs w:val="28"/>
        </w:rPr>
        <w:t>学院</w:t>
      </w:r>
      <w:r>
        <w:rPr>
          <w:rFonts w:asciiTheme="minorEastAsia" w:hAnsiTheme="minorEastAsia" w:eastAsiaTheme="minorEastAsia"/>
          <w:sz w:val="28"/>
          <w:szCs w:val="28"/>
        </w:rPr>
        <w:t>完成</w:t>
      </w:r>
      <w:r>
        <w:rPr>
          <w:rFonts w:hint="eastAsia" w:asciiTheme="minorEastAsia" w:hAnsiTheme="minorEastAsia" w:eastAsiaTheme="minorEastAsia"/>
          <w:sz w:val="28"/>
          <w:szCs w:val="28"/>
        </w:rPr>
        <w:t>了</w:t>
      </w:r>
      <w:r>
        <w:rPr>
          <w:rFonts w:asciiTheme="minorEastAsia" w:hAnsiTheme="minorEastAsia" w:eastAsiaTheme="minorEastAsia"/>
          <w:sz w:val="28"/>
          <w:szCs w:val="28"/>
        </w:rPr>
        <w:t>6辆</w:t>
      </w:r>
      <w:r>
        <w:rPr>
          <w:rFonts w:hint="eastAsia" w:asciiTheme="minorEastAsia" w:hAnsiTheme="minorEastAsia" w:eastAsiaTheme="minorEastAsia"/>
          <w:sz w:val="28"/>
          <w:szCs w:val="28"/>
        </w:rPr>
        <w:t>“</w:t>
      </w:r>
      <w:r>
        <w:rPr>
          <w:rFonts w:asciiTheme="minorEastAsia" w:hAnsiTheme="minorEastAsia" w:eastAsiaTheme="minorEastAsia"/>
          <w:sz w:val="28"/>
          <w:szCs w:val="28"/>
        </w:rPr>
        <w:t>车改</w:t>
      </w:r>
      <w:r>
        <w:rPr>
          <w:rFonts w:hint="eastAsia" w:asciiTheme="minorEastAsia" w:hAnsiTheme="minorEastAsia" w:eastAsiaTheme="minorEastAsia"/>
          <w:sz w:val="28"/>
          <w:szCs w:val="28"/>
        </w:rPr>
        <w:t>”</w:t>
      </w:r>
      <w:r>
        <w:rPr>
          <w:rFonts w:asciiTheme="minorEastAsia" w:hAnsiTheme="minorEastAsia" w:eastAsiaTheme="minorEastAsia"/>
          <w:sz w:val="28"/>
          <w:szCs w:val="28"/>
        </w:rPr>
        <w:t>车辆</w:t>
      </w:r>
      <w:r>
        <w:rPr>
          <w:rFonts w:hint="eastAsia" w:asciiTheme="minorEastAsia" w:hAnsiTheme="minorEastAsia" w:eastAsiaTheme="minorEastAsia"/>
          <w:sz w:val="28"/>
          <w:szCs w:val="28"/>
        </w:rPr>
        <w:t>的</w:t>
      </w:r>
      <w:r>
        <w:rPr>
          <w:rFonts w:asciiTheme="minorEastAsia" w:hAnsiTheme="minorEastAsia" w:eastAsiaTheme="minorEastAsia"/>
          <w:sz w:val="28"/>
          <w:szCs w:val="28"/>
        </w:rPr>
        <w:t>报废</w:t>
      </w:r>
      <w:r>
        <w:rPr>
          <w:rFonts w:hint="eastAsia" w:asciiTheme="minorEastAsia" w:hAnsiTheme="minorEastAsia" w:eastAsiaTheme="minorEastAsia"/>
          <w:sz w:val="28"/>
          <w:szCs w:val="28"/>
        </w:rPr>
        <w:t>工作</w:t>
      </w:r>
      <w:r>
        <w:rPr>
          <w:rFonts w:asciiTheme="minorEastAsia" w:hAnsiTheme="minorEastAsia" w:eastAsiaTheme="minorEastAsia"/>
          <w:sz w:val="28"/>
          <w:szCs w:val="28"/>
        </w:rPr>
        <w:t>，</w:t>
      </w:r>
      <w:r>
        <w:rPr>
          <w:rFonts w:hint="eastAsia" w:asciiTheme="minorEastAsia" w:hAnsiTheme="minorEastAsia" w:eastAsiaTheme="minorEastAsia"/>
          <w:sz w:val="28"/>
          <w:szCs w:val="28"/>
        </w:rPr>
        <w:t>报废</w:t>
      </w:r>
      <w:r>
        <w:rPr>
          <w:rFonts w:asciiTheme="minorEastAsia" w:hAnsiTheme="minorEastAsia" w:eastAsiaTheme="minorEastAsia"/>
          <w:sz w:val="28"/>
          <w:szCs w:val="28"/>
        </w:rPr>
        <w:t>账面</w:t>
      </w:r>
      <w:r>
        <w:rPr>
          <w:rFonts w:hint="eastAsia" w:asciiTheme="minorEastAsia" w:hAnsiTheme="minorEastAsia" w:eastAsiaTheme="minorEastAsia"/>
          <w:sz w:val="28"/>
          <w:szCs w:val="28"/>
        </w:rPr>
        <w:t>价值</w:t>
      </w:r>
      <w:r>
        <w:rPr>
          <w:rFonts w:asciiTheme="minorEastAsia" w:hAnsiTheme="minorEastAsia" w:eastAsiaTheme="minorEastAsia"/>
          <w:sz w:val="28"/>
          <w:szCs w:val="28"/>
        </w:rPr>
        <w:t>170.28万元，现已完成销账处理。</w:t>
      </w:r>
    </w:p>
    <w:p w14:paraId="2232FC37">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二</w:t>
      </w:r>
      <w:r>
        <w:rPr>
          <w:rFonts w:asciiTheme="minorEastAsia" w:hAnsiTheme="minorEastAsia" w:eastAsiaTheme="minorEastAsia"/>
          <w:sz w:val="28"/>
          <w:szCs w:val="28"/>
        </w:rPr>
        <w:t>）资产管理体制及制度建设</w:t>
      </w:r>
    </w:p>
    <w:p w14:paraId="6E59A426">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学院资产管理部对国有资产管理实行“统一领导、归口管理、部门负责、责任到人”的管理体制。学院党委会和院长办公会议是学院国有资产管理的决策机构，资产管理处是学院国有资产的主管部门，代表学院对国有资产施行综合管理。建立健全资产管理制度，合理配备并节约、有效使用资产，提高资产使用效率，保障资产的安全和完整。资产管理处负责对单位资产管理进行指导和监督，对纳入政府采购范围的资产进行统一购置。各二级学院及部门设有兼职资产管理员，具体负责部门资产的日常管理工作，包括新购资产的入账登记、异动、报废申请、统计、清查等工作。</w:t>
      </w:r>
      <w:r>
        <w:rPr>
          <w:rFonts w:hint="eastAsia" w:asciiTheme="minorEastAsia" w:hAnsiTheme="minorEastAsia" w:eastAsiaTheme="minorEastAsia"/>
          <w:sz w:val="28"/>
          <w:szCs w:val="28"/>
        </w:rPr>
        <w:t>2020年根据</w:t>
      </w:r>
      <w:r>
        <w:rPr>
          <w:rFonts w:asciiTheme="minorEastAsia" w:hAnsiTheme="minorEastAsia" w:eastAsiaTheme="minorEastAsia"/>
          <w:sz w:val="28"/>
          <w:szCs w:val="28"/>
        </w:rPr>
        <w:t>长沙市相关文件规定修订了《湖南信息职业技术学院资产管理实施细则》</w:t>
      </w: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w:t>
      </w:r>
    </w:p>
    <w:p w14:paraId="3E43C208">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（三）配置、处置的程序 </w:t>
      </w:r>
    </w:p>
    <w:p w14:paraId="5C4B69E0">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院严格按照上级财政部门规定的配置标准（动态）配置资产，对有规定配置标准的资产，能通过调剂解决的，原则上不重新购置；对没有规定配置标准的，应当加强论证、从严控制，合理配置。各部门应充分了解、全面掌握本部门资产配置的实际需求，以资产存量为依据，科学、准确、完整编制本部门的资产配置预算。部门资产配置预算编制完成后，上报至牵头部门，各牵头部门对各部门申报的资产配置预算的必要性和合理性进行审核。牵头部门审核完成后的资产配置预算经资产管理处汇总后上报至院长办公会审议、党委会审定，审核通过后上报至市财政。配置预算执行过程中将严格按照市财政批复执行，资产配置预算一经批复，原则上不予调整。特殊需调整的项目按市财政文件精神的要求办理。</w:t>
      </w:r>
    </w:p>
    <w:p w14:paraId="435798DD">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学院对于报废、淘汰的资产，产权或使用权转移的资产，盘亏、呆账及非正常损失的资产，闲置、拟置换的资产，以及依照国家有关规定需要处置的其他资产，依据上级部门和学院资产管理相关文件进行国有资产管理处置。学院各部门处置国有资产时，由各资产使用部门在资产管理平台提出申报，资产管理处初审通过后，将报废资产实物上交至资产管理部门。拟报废资产经学院批准后，资产管理处按长沙市财政有关文件完成处置工作。报废资产报废流程全部完成后，资产管理处与财务处应及时完成报废资产的销账工作。 </w:t>
      </w:r>
    </w:p>
    <w:p w14:paraId="4B70A96E">
      <w:pPr>
        <w:spacing w:line="576" w:lineRule="exact"/>
        <w:ind w:firstLine="560" w:firstLineChars="200"/>
        <w:rPr>
          <w:rFonts w:asciiTheme="minorEastAsia" w:hAnsiTheme="minorEastAsia" w:eastAsiaTheme="minorEastAsia"/>
          <w:sz w:val="28"/>
          <w:szCs w:val="28"/>
        </w:rPr>
      </w:pPr>
    </w:p>
    <w:p w14:paraId="250A854A">
      <w:pPr>
        <w:numPr>
          <w:ilvl w:val="0"/>
          <w:numId w:val="3"/>
        </w:numPr>
        <w:ind w:firstLine="800" w:firstLineChars="250"/>
        <w:rPr>
          <w:rFonts w:ascii="Times New Roman" w:hAnsi="Times New Roman" w:eastAsia="黑体"/>
          <w:bCs/>
          <w:sz w:val="32"/>
          <w:szCs w:val="32"/>
        </w:rPr>
      </w:pPr>
      <w:r>
        <w:rPr>
          <w:rFonts w:hint="eastAsia" w:ascii="Times New Roman" w:hAnsi="Times New Roman" w:eastAsia="黑体"/>
          <w:bCs/>
          <w:sz w:val="32"/>
          <w:szCs w:val="32"/>
        </w:rPr>
        <w:t>政府性基金预算支出情况</w:t>
      </w:r>
    </w:p>
    <w:p w14:paraId="5FE0B1F8">
      <w:pPr>
        <w:ind w:firstLine="640" w:firstLineChars="200"/>
        <w:rPr>
          <w:rFonts w:ascii="Times New Roman" w:hAnsi="Times New Roman" w:eastAsia="黑体"/>
          <w:bCs/>
          <w:sz w:val="32"/>
          <w:szCs w:val="32"/>
        </w:rPr>
      </w:pPr>
      <w:r>
        <w:rPr>
          <w:rFonts w:hint="eastAsia" w:ascii="Times New Roman" w:hAnsi="Times New Roman" w:eastAsia="黑体"/>
          <w:bCs/>
          <w:sz w:val="32"/>
          <w:szCs w:val="32"/>
        </w:rPr>
        <w:t>无。</w:t>
      </w:r>
    </w:p>
    <w:p w14:paraId="646AB28E">
      <w:pPr>
        <w:ind w:firstLine="640" w:firstLineChars="200"/>
        <w:rPr>
          <w:rFonts w:ascii="Times New Roman" w:hAnsi="Times New Roman" w:eastAsia="黑体"/>
          <w:bCs/>
          <w:sz w:val="32"/>
          <w:szCs w:val="32"/>
        </w:rPr>
      </w:pPr>
    </w:p>
    <w:p w14:paraId="2F3621E4">
      <w:pPr>
        <w:numPr>
          <w:ilvl w:val="0"/>
          <w:numId w:val="3"/>
        </w:numPr>
        <w:ind w:firstLine="800" w:firstLineChars="250"/>
        <w:rPr>
          <w:rFonts w:ascii="Times New Roman" w:hAnsi="Times New Roman" w:eastAsia="黑体"/>
          <w:bCs/>
          <w:sz w:val="32"/>
          <w:szCs w:val="32"/>
        </w:rPr>
      </w:pPr>
      <w:r>
        <w:rPr>
          <w:rFonts w:hint="eastAsia" w:ascii="Times New Roman" w:hAnsi="Times New Roman" w:eastAsia="黑体"/>
          <w:bCs/>
          <w:sz w:val="32"/>
          <w:szCs w:val="32"/>
        </w:rPr>
        <w:t>国有资本经营预算支出情况</w:t>
      </w:r>
    </w:p>
    <w:p w14:paraId="10690A59">
      <w:pPr>
        <w:ind w:firstLine="640" w:firstLineChars="200"/>
        <w:rPr>
          <w:rFonts w:ascii="Times New Roman" w:hAnsi="Times New Roman" w:eastAsia="黑体"/>
          <w:bCs/>
          <w:sz w:val="32"/>
          <w:szCs w:val="32"/>
        </w:rPr>
      </w:pPr>
      <w:r>
        <w:rPr>
          <w:rFonts w:hint="eastAsia" w:ascii="Times New Roman" w:hAnsi="Times New Roman" w:eastAsia="黑体"/>
          <w:bCs/>
          <w:sz w:val="32"/>
          <w:szCs w:val="32"/>
        </w:rPr>
        <w:t>无。</w:t>
      </w:r>
    </w:p>
    <w:p w14:paraId="598E5F54">
      <w:pPr>
        <w:ind w:firstLine="640" w:firstLineChars="200"/>
        <w:rPr>
          <w:rFonts w:ascii="Times New Roman" w:hAnsi="Times New Roman" w:eastAsia="黑体"/>
          <w:bCs/>
          <w:sz w:val="32"/>
          <w:szCs w:val="32"/>
        </w:rPr>
      </w:pPr>
    </w:p>
    <w:p w14:paraId="4C1DCF7D">
      <w:pPr>
        <w:numPr>
          <w:ilvl w:val="0"/>
          <w:numId w:val="3"/>
        </w:numPr>
        <w:ind w:firstLine="800" w:firstLineChars="250"/>
        <w:rPr>
          <w:rFonts w:ascii="Times New Roman" w:hAnsi="Times New Roman" w:eastAsia="黑体"/>
          <w:bCs/>
          <w:sz w:val="32"/>
          <w:szCs w:val="32"/>
        </w:rPr>
      </w:pPr>
      <w:r>
        <w:rPr>
          <w:rFonts w:hint="eastAsia" w:ascii="Times New Roman" w:hAnsi="Times New Roman" w:eastAsia="黑体"/>
          <w:bCs/>
          <w:sz w:val="32"/>
          <w:szCs w:val="32"/>
        </w:rPr>
        <w:t>社会保险基金预算支出情况</w:t>
      </w:r>
    </w:p>
    <w:p w14:paraId="74091F62">
      <w:pPr>
        <w:ind w:firstLine="640" w:firstLineChars="200"/>
        <w:rPr>
          <w:rFonts w:ascii="Times New Roman" w:hAnsi="Times New Roman" w:eastAsia="黑体"/>
          <w:bCs/>
          <w:sz w:val="32"/>
          <w:szCs w:val="32"/>
        </w:rPr>
      </w:pPr>
      <w:r>
        <w:rPr>
          <w:rFonts w:hint="eastAsia" w:ascii="Times New Roman" w:hAnsi="Times New Roman" w:eastAsia="黑体"/>
          <w:bCs/>
          <w:sz w:val="32"/>
          <w:szCs w:val="32"/>
        </w:rPr>
        <w:t>无。</w:t>
      </w:r>
    </w:p>
    <w:p w14:paraId="4225760C">
      <w:pPr>
        <w:ind w:firstLine="640" w:firstLineChars="200"/>
        <w:rPr>
          <w:rFonts w:ascii="Times New Roman" w:hAnsi="Times New Roman" w:eastAsia="黑体"/>
          <w:bCs/>
          <w:sz w:val="32"/>
          <w:szCs w:val="32"/>
        </w:rPr>
      </w:pPr>
    </w:p>
    <w:p w14:paraId="6E6F9BED">
      <w:pPr>
        <w:numPr>
          <w:ilvl w:val="0"/>
          <w:numId w:val="3"/>
        </w:numPr>
        <w:ind w:firstLine="800" w:firstLineChars="250"/>
        <w:rPr>
          <w:rFonts w:ascii="Times New Roman" w:hAnsi="Times New Roman" w:eastAsia="黑体"/>
          <w:bCs/>
          <w:sz w:val="32"/>
          <w:szCs w:val="32"/>
        </w:rPr>
      </w:pPr>
      <w:r>
        <w:rPr>
          <w:rFonts w:ascii="Times New Roman" w:hAnsi="Times New Roman" w:eastAsia="黑体"/>
          <w:bCs/>
          <w:sz w:val="32"/>
          <w:szCs w:val="32"/>
        </w:rPr>
        <w:t xml:space="preserve">部门整体支出绩效情况 </w:t>
      </w:r>
    </w:p>
    <w:p w14:paraId="0644126E">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湖南信息职业技术学院“四本预算”中只有一般公共预算，无政府性基金、国有资本经营及社会保险基金预算。2020年湖南信息职业技术学院预算总支出为20733.96万元，其中一般公共预算支出14553.96万元，事业支出6180万元，全面保障了学院教育教学、科学研究、招生就业等各项工作的顺利实施与开展；达成了全年人员经费和公用经费预算执行率不低于90%的绩效目标，基本实现2020年整体支出预算绩效目标。</w:t>
      </w:r>
    </w:p>
    <w:p w14:paraId="5AE5B9B6">
      <w:pPr>
        <w:spacing w:line="576"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年，学院</w:t>
      </w:r>
      <w:r>
        <w:rPr>
          <w:rFonts w:hint="eastAsia" w:asciiTheme="minorEastAsia" w:hAnsiTheme="minorEastAsia" w:eastAsiaTheme="minorEastAsia"/>
          <w:sz w:val="28"/>
          <w:szCs w:val="28"/>
        </w:rPr>
        <w:t>以党的十九大精神、习近平新时代中国特色社会主义思想以及</w:t>
      </w:r>
      <w:r>
        <w:rPr>
          <w:rFonts w:hint="eastAsia" w:asciiTheme="minorEastAsia" w:hAnsiTheme="minorEastAsia" w:eastAsiaTheme="minorEastAsia"/>
          <w:sz w:val="28"/>
          <w:szCs w:val="28"/>
          <w:lang w:val="en-US" w:eastAsia="zh-CN"/>
        </w:rPr>
        <w:t>习近平</w:t>
      </w:r>
      <w:r>
        <w:rPr>
          <w:rFonts w:hint="eastAsia" w:asciiTheme="minorEastAsia" w:hAnsiTheme="minorEastAsia" w:eastAsiaTheme="minorEastAsia"/>
          <w:sz w:val="28"/>
          <w:szCs w:val="28"/>
        </w:rPr>
        <w:t>总书记湖南考察“三高四新”的新发展理念为指引，</w:t>
      </w:r>
      <w:r>
        <w:rPr>
          <w:rFonts w:asciiTheme="minorEastAsia" w:hAnsiTheme="minorEastAsia" w:eastAsiaTheme="minorEastAsia"/>
          <w:sz w:val="28"/>
          <w:szCs w:val="28"/>
        </w:rPr>
        <w:t>坚持以立德树人</w:t>
      </w:r>
      <w:r>
        <w:rPr>
          <w:rFonts w:hint="eastAsia" w:asciiTheme="minorEastAsia" w:hAnsiTheme="minorEastAsia" w:eastAsiaTheme="minorEastAsia"/>
          <w:sz w:val="28"/>
          <w:szCs w:val="28"/>
        </w:rPr>
        <w:t>为</w:t>
      </w:r>
      <w:r>
        <w:rPr>
          <w:rFonts w:asciiTheme="minorEastAsia" w:hAnsiTheme="minorEastAsia" w:eastAsiaTheme="minorEastAsia"/>
          <w:sz w:val="28"/>
          <w:szCs w:val="28"/>
        </w:rPr>
        <w:t>根本使命</w:t>
      </w:r>
      <w:r>
        <w:rPr>
          <w:rFonts w:hint="eastAsia" w:asciiTheme="minorEastAsia" w:hAnsiTheme="minorEastAsia" w:eastAsiaTheme="minorEastAsia"/>
          <w:sz w:val="28"/>
          <w:szCs w:val="28"/>
        </w:rPr>
        <w:t>、以</w:t>
      </w:r>
      <w:r>
        <w:rPr>
          <w:rFonts w:asciiTheme="minorEastAsia" w:hAnsiTheme="minorEastAsia" w:eastAsiaTheme="minorEastAsia"/>
          <w:sz w:val="28"/>
          <w:szCs w:val="28"/>
        </w:rPr>
        <w:t>服务国家有关战略、培育技术技能英才为己任</w:t>
      </w:r>
      <w:r>
        <w:rPr>
          <w:rFonts w:hint="eastAsia" w:asciiTheme="minorEastAsia" w:hAnsiTheme="minorEastAsia" w:eastAsiaTheme="minorEastAsia"/>
          <w:sz w:val="28"/>
          <w:szCs w:val="28"/>
        </w:rPr>
        <w:t>，在市委、市政府坚强领导下，在疫情大考中迎难而上、砥砺奋进，大力扶持相关行业有关专业群建设和师生团队建设，加强预算资金的测算和管理，提高资金预算执行率，以绩效为导向，严控资金成本，强化问题整改，向项目要效益、向问题要进步，深化教学科研管理可持续发展，推动学院发展站上新的历史起点</w:t>
      </w:r>
      <w:r>
        <w:rPr>
          <w:rFonts w:asciiTheme="minorEastAsia" w:hAnsiTheme="minorEastAsia" w:eastAsiaTheme="minorEastAsia"/>
          <w:sz w:val="28"/>
          <w:szCs w:val="28"/>
        </w:rPr>
        <w:t>。</w:t>
      </w:r>
    </w:p>
    <w:p w14:paraId="4E1D3F28">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（一）运行成本方面</w:t>
      </w:r>
    </w:p>
    <w:p w14:paraId="3BB3F8C9">
      <w:pPr>
        <w:pStyle w:val="7"/>
        <w:spacing w:line="540" w:lineRule="exact"/>
        <w:ind w:firstLine="560" w:firstLineChars="200"/>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学院全面兼顾2020年度重点工作和日常运行管理，强化预算监督，狠抓预算执行，通过财务双月通报与讲评机制，定期监控并反馈预算执行情况；全院资产购置和工程项目建设严格执行学院资产采购和基建、维修管理办法，通过公开招标、竞争性谈判、询价采购等方式，最大程度的节省采购成本，提高资金使用效率；2020年学院共财评31个项目，送审总额2808.10万元，审定金额2366.52万元，核减441.58万元，核减率达15.73%；学院认真贯彻落实中央“八项规定”和厉行节约要求，从严控制“三公”经费支出，“三公”经费较2019年减少28.07万元。</w:t>
      </w:r>
    </w:p>
    <w:p w14:paraId="09CA1405">
      <w:pPr>
        <w:pStyle w:val="7"/>
        <w:spacing w:line="540" w:lineRule="exact"/>
        <w:ind w:firstLine="420" w:firstLineChars="150"/>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（二）管理效率方面</w:t>
      </w:r>
    </w:p>
    <w:p w14:paraId="4218896D">
      <w:pPr>
        <w:pStyle w:val="7"/>
        <w:spacing w:line="54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一是学院不断加大信息化建设力度，借助信息化手段提高管理水平和效率。学院“基于学校治理能力提升构建智慧校园服务生态体系”入编湖南省教育信息化优秀典型安全成果集（2018）；高职院校一站式服务的“智慧化探索与实践”获评2020第5届中国（青岛）世界职业教育技术大会优秀案例，成功入选“2020中国职业院校智慧校园50强”。</w:t>
      </w:r>
    </w:p>
    <w:p w14:paraId="51DD56B4">
      <w:pPr>
        <w:pStyle w:val="7"/>
        <w:spacing w:line="54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2020年，学院全面实现网上办公和财务网上报账。单招考试报名、毕业生离校、无纸化考试等工作都通过信息平台有序开展，方便了师生、提高了效率，降低了成本。</w:t>
      </w:r>
    </w:p>
    <w:p w14:paraId="66A85176">
      <w:pPr>
        <w:pStyle w:val="7"/>
        <w:spacing w:line="540" w:lineRule="exact"/>
        <w:ind w:firstLine="560" w:firstLineChars="200"/>
        <w:jc w:val="both"/>
        <w:rPr>
          <w:rFonts w:cs="仿宋"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二是学院以“项目化”“台账化”管理方式构建现代后勤管理模式，明确人员职责，厘清工作流程，修订相关制度，缩减学院师生学习、生活、办公环境报修报备环节，提高精细化管理水平。学生食堂获评长沙市教育局“优秀食堂”。</w:t>
      </w:r>
    </w:p>
    <w:p w14:paraId="6D7239BC">
      <w:pPr>
        <w:pStyle w:val="7"/>
        <w:spacing w:line="540" w:lineRule="exact"/>
        <w:ind w:firstLine="560" w:firstLineChars="200"/>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（三）履职效能方面</w:t>
      </w:r>
    </w:p>
    <w:p w14:paraId="23085B39">
      <w:pPr>
        <w:numPr>
          <w:ilvl w:val="0"/>
          <w:numId w:val="4"/>
        </w:num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聚焦全面从严治党，强化阳光廉洁治校</w:t>
      </w:r>
    </w:p>
    <w:p w14:paraId="763D1875">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制定下发了《学院2020年全面从严治党主体责任清单》《学院2020年落实全面从严治党主体责任检查考核实施细则》等相关制度4个，深化运用监督执纪“四种形态”，院领导开展日常廉政谈话、提醒谈话224次，中层干部廉政谈话210次，谈心谈话成为常态。在正风肃纪上持续发力，驰而不息贯彻落实</w:t>
      </w:r>
      <w:r>
        <w:rPr>
          <w:rFonts w:hint="eastAsia" w:asciiTheme="minorEastAsia" w:hAnsiTheme="minorEastAsia" w:eastAsiaTheme="minorEastAsia"/>
          <w:sz w:val="28"/>
          <w:szCs w:val="28"/>
          <w:lang w:val="en-US" w:eastAsia="zh-CN"/>
        </w:rPr>
        <w:t>中央</w:t>
      </w:r>
      <w:bookmarkStart w:id="0" w:name="_GoBack"/>
      <w:bookmarkEnd w:id="0"/>
      <w:r>
        <w:rPr>
          <w:rFonts w:hint="eastAsia" w:asciiTheme="minorEastAsia" w:hAnsiTheme="minorEastAsia" w:eastAsiaTheme="minorEastAsia"/>
          <w:sz w:val="28"/>
          <w:szCs w:val="28"/>
        </w:rPr>
        <w:t>八项规定精神，诫勉谈话2次，政纪处分1人次，着力营造良好政治生态，为学院各项事业发展提供坚强保障。</w:t>
      </w:r>
    </w:p>
    <w:p w14:paraId="78FA3C15">
      <w:pPr>
        <w:numPr>
          <w:ilvl w:val="0"/>
          <w:numId w:val="4"/>
        </w:num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严防严控疫情输入，多措并举保学促教</w:t>
      </w:r>
    </w:p>
    <w:p w14:paraId="1ED0C310">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是高度重视疫情防控工作，完善疫情防控管理办法。疫情爆发后，学院第一时间全面落实国家、省、市关于新型冠状肺炎疫情防控工作有关指示。成立了由书记、院长任组长的疫情防控工作领导小组，召开疫情防控专题会议7次；健全完善《湖南信息职业技术学院传染病疫情及突发公共卫生事件报告制度》等疫情防控制度10余项，制度保障及时到位，制度执行有条不紊，采购并及时发放了38万多元防疫物资；组建9支学院疫情防控党员志愿服务队，选派3名干部进驻企业指导防疫和复工复产，发布动态摸排信息139期，第一时间妥善应对疫情，获评“教育后勤疫情防控先进集体”。</w:t>
      </w:r>
    </w:p>
    <w:p w14:paraId="185B234D">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是线上课程保教学，线下授课严管理。疫情防控期间，停课不停学，停课不停教；整合信息化教学资源，分层次、多平台组织线上教学，新建在线课程157门，8000余名学生在线学习，479名教师在线授课，4个教学案例入选省级线上教学优秀案例，入选数量居全省高职院校前列。学院经受住了疫情防控全封闭管理与线上教学全面铺开的大考验，将不可能的封闭式校园管理变成了可能，成为少数正常复课复学的高职院校之一。疫情后开学的全封闭式管理下没有出现一例新冠感染病例，也没有发生一起学生安全事故，彰显了学院凝心聚力与责任担当。</w:t>
      </w:r>
    </w:p>
    <w:p w14:paraId="11E299D7">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是聚焦专业建设，提高教学质量。学院始终秉承“教书育人”的宗旨，2020年我们一手抓疫情防控，一手抓教育教学。强化教育教学改革和教学质量诊断工作，加强特色专业群建设，完善教育教学工作质量评价体系，以目标导向和结果导向双评价机制考核教师教学质量，督促学院教育教学水平迈上新台阶。截至2020年底，学院拥</w:t>
      </w:r>
      <w:r>
        <w:rPr>
          <w:rFonts w:asciiTheme="minorEastAsia" w:hAnsiTheme="minorEastAsia" w:eastAsiaTheme="minorEastAsia"/>
          <w:sz w:val="28"/>
          <w:szCs w:val="28"/>
        </w:rPr>
        <w:t>有应用电子技术</w:t>
      </w:r>
      <w:r>
        <w:rPr>
          <w:rFonts w:hint="eastAsia" w:asciiTheme="minorEastAsia" w:hAnsiTheme="minorEastAsia" w:eastAsiaTheme="minorEastAsia"/>
          <w:sz w:val="28"/>
          <w:szCs w:val="28"/>
        </w:rPr>
        <w:t>和</w:t>
      </w:r>
      <w:r>
        <w:rPr>
          <w:rFonts w:asciiTheme="minorEastAsia" w:hAnsiTheme="minorEastAsia" w:eastAsiaTheme="minorEastAsia"/>
          <w:sz w:val="28"/>
          <w:szCs w:val="28"/>
        </w:rPr>
        <w:t>软件技术省级教学团队2个</w:t>
      </w:r>
      <w:r>
        <w:rPr>
          <w:rFonts w:hint="eastAsia" w:asciiTheme="minorEastAsia" w:hAnsiTheme="minorEastAsia" w:eastAsiaTheme="minorEastAsia"/>
          <w:sz w:val="28"/>
          <w:szCs w:val="28"/>
        </w:rPr>
        <w:t>，国家级重点建设专业2个，教育部骨干专业2个，省级精品专业5个，省级示范性特色专业1个，省级特色专业2个，省级示范性特色专业群2个。2020年学院新认定省级精品在线开放课程12门，建成省级教学资源库1个，入选湖南省职业院校线上教学优秀案例4个，入选国家“十三五”规划教材2本，</w:t>
      </w:r>
      <w:r>
        <w:rPr>
          <w:rFonts w:asciiTheme="minorEastAsia" w:hAnsiTheme="minorEastAsia" w:eastAsiaTheme="minorEastAsia"/>
          <w:sz w:val="28"/>
          <w:szCs w:val="28"/>
        </w:rPr>
        <w:t>获批教育部1+X证书试点项目专业3个</w:t>
      </w:r>
      <w:r>
        <w:rPr>
          <w:rFonts w:hint="eastAsia" w:asciiTheme="minorEastAsia" w:hAnsiTheme="minorEastAsia" w:eastAsiaTheme="minorEastAsia"/>
          <w:sz w:val="28"/>
          <w:szCs w:val="28"/>
        </w:rPr>
        <w:t>，荣获省级教学成果奖21个，培育</w:t>
      </w:r>
      <w:r>
        <w:rPr>
          <w:rFonts w:asciiTheme="minorEastAsia" w:hAnsiTheme="minorEastAsia" w:eastAsiaTheme="minorEastAsia"/>
          <w:sz w:val="28"/>
          <w:szCs w:val="28"/>
        </w:rPr>
        <w:t>学生</w:t>
      </w:r>
      <w:r>
        <w:rPr>
          <w:rFonts w:hint="eastAsia" w:asciiTheme="minorEastAsia" w:hAnsiTheme="minorEastAsia" w:eastAsiaTheme="minorEastAsia"/>
          <w:sz w:val="28"/>
          <w:szCs w:val="28"/>
        </w:rPr>
        <w:t>荣获</w:t>
      </w:r>
      <w:r>
        <w:rPr>
          <w:rFonts w:asciiTheme="minorEastAsia" w:hAnsiTheme="minorEastAsia" w:eastAsiaTheme="minorEastAsia"/>
          <w:sz w:val="28"/>
          <w:szCs w:val="28"/>
        </w:rPr>
        <w:t>省级</w:t>
      </w:r>
      <w:r>
        <w:rPr>
          <w:rFonts w:hint="eastAsia" w:asciiTheme="minorEastAsia" w:hAnsiTheme="minorEastAsia" w:eastAsiaTheme="minorEastAsia"/>
          <w:sz w:val="28"/>
          <w:szCs w:val="28"/>
        </w:rPr>
        <w:t>竞赛</w:t>
      </w:r>
      <w:r>
        <w:rPr>
          <w:rFonts w:asciiTheme="minorEastAsia" w:hAnsiTheme="minorEastAsia" w:eastAsiaTheme="minorEastAsia"/>
          <w:sz w:val="28"/>
          <w:szCs w:val="28"/>
        </w:rPr>
        <w:t>奖57项</w:t>
      </w:r>
      <w:r>
        <w:rPr>
          <w:rFonts w:hint="eastAsia" w:asciiTheme="minorEastAsia" w:hAnsiTheme="minorEastAsia" w:eastAsiaTheme="minorEastAsia"/>
          <w:sz w:val="28"/>
          <w:szCs w:val="28"/>
        </w:rPr>
        <w:t>，人才培养质量年度报告连续2年被评为A等，课程思政说课与思政课说课比赛分别获湖南省职业院校思想政治教育教学能力比赛三等奖，同时学院学生</w:t>
      </w:r>
      <w:r>
        <w:rPr>
          <w:rFonts w:asciiTheme="minorEastAsia" w:hAnsiTheme="minorEastAsia" w:eastAsiaTheme="minorEastAsia"/>
          <w:sz w:val="28"/>
          <w:szCs w:val="28"/>
        </w:rPr>
        <w:t>职业技能鉴定通过率</w:t>
      </w:r>
      <w:r>
        <w:rPr>
          <w:rFonts w:hint="eastAsia" w:asciiTheme="minorEastAsia" w:hAnsiTheme="minorEastAsia" w:eastAsiaTheme="minorEastAsia"/>
          <w:sz w:val="28"/>
          <w:szCs w:val="28"/>
        </w:rPr>
        <w:t>超</w:t>
      </w:r>
      <w:r>
        <w:rPr>
          <w:rFonts w:asciiTheme="minorEastAsia" w:hAnsiTheme="minorEastAsia" w:eastAsiaTheme="minorEastAsia"/>
          <w:sz w:val="28"/>
          <w:szCs w:val="28"/>
        </w:rPr>
        <w:t>80%，普通话考证通过率</w:t>
      </w:r>
      <w:r>
        <w:rPr>
          <w:rFonts w:hint="eastAsia" w:asciiTheme="minorEastAsia" w:hAnsiTheme="minorEastAsia" w:eastAsiaTheme="minorEastAsia"/>
          <w:sz w:val="28"/>
          <w:szCs w:val="28"/>
        </w:rPr>
        <w:t>达</w:t>
      </w:r>
      <w:r>
        <w:rPr>
          <w:rFonts w:asciiTheme="minorEastAsia" w:hAnsiTheme="minorEastAsia" w:eastAsiaTheme="minorEastAsia"/>
          <w:sz w:val="28"/>
          <w:szCs w:val="28"/>
        </w:rPr>
        <w:t>98%</w:t>
      </w:r>
      <w:r>
        <w:rPr>
          <w:rFonts w:hint="eastAsia" w:asciiTheme="minorEastAsia" w:hAnsiTheme="minorEastAsia" w:eastAsiaTheme="minorEastAsia"/>
          <w:sz w:val="28"/>
          <w:szCs w:val="28"/>
        </w:rPr>
        <w:t>，学生获证率高。</w:t>
      </w:r>
    </w:p>
    <w:p w14:paraId="415B2C59">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3、提升科技创新能力，持续推进校企合作</w:t>
      </w:r>
    </w:p>
    <w:p w14:paraId="4DD20B35">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教职工省、市级科研项目立项46项，发表论文284篇，其中EI论文2篇，《经济日报》理论文章1篇，《湖南日报》理论文章1篇，软件著作权122项，专利76项；原内刊《湖南信息职业技术学院学报》顺利更名为《信息与智能技术应用》；新增校企共建顶岗实习基地20家，生产性实习实训基地2家，牵头成立京东教育研究院中部崛起分院暨京东（长沙）产教融合应用技术协同创新中心；湖南信息产业职业教育集团被立项为省级示范性职教集团。</w:t>
      </w:r>
    </w:p>
    <w:p w14:paraId="64ECC13B">
      <w:pPr>
        <w:numPr>
          <w:ilvl w:val="255"/>
          <w:numId w:val="0"/>
        </w:num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4、强抓绩效评价问题整改，实时跟踪整改实施进度</w:t>
      </w:r>
    </w:p>
    <w:p w14:paraId="1F55380B">
      <w:pPr>
        <w:numPr>
          <w:ilvl w:val="255"/>
          <w:numId w:val="0"/>
        </w:numPr>
        <w:spacing w:line="540" w:lineRule="exact"/>
        <w:ind w:firstLine="640"/>
        <w:rPr>
          <w:rFonts w:asciiTheme="minorEastAsia" w:hAnsiTheme="minorEastAsia" w:eastAsiaTheme="minorEastAsia"/>
          <w:sz w:val="28"/>
          <w:szCs w:val="28"/>
        </w:rPr>
      </w:pPr>
      <w:r>
        <w:rPr>
          <w:rFonts w:hint="eastAsia" w:asciiTheme="minorEastAsia" w:hAnsiTheme="minorEastAsia" w:eastAsiaTheme="minorEastAsia"/>
          <w:sz w:val="28"/>
          <w:szCs w:val="28"/>
        </w:rPr>
        <w:t>高度重视上年财政局绩效评价整改工作。财务处牵头，多部门配合，召开专题整改会，以评促改，举一反三，严防死堵类似的问题再次发生，并将整改情况和整改进度在全院双月通报与讲评中重点通报。</w:t>
      </w:r>
    </w:p>
    <w:p w14:paraId="67F4BB06">
      <w:pPr>
        <w:pStyle w:val="7"/>
        <w:spacing w:line="540" w:lineRule="exact"/>
        <w:ind w:firstLine="560" w:firstLineChars="200"/>
        <w:jc w:val="both"/>
        <w:rPr>
          <w:rFonts w:cs="仿宋" w:asciiTheme="minorEastAsia" w:hAnsiTheme="minorEastAsia" w:eastAsiaTheme="minorEastAsia"/>
          <w:kern w:val="2"/>
          <w:sz w:val="28"/>
          <w:szCs w:val="28"/>
        </w:rPr>
      </w:pPr>
      <w:r>
        <w:rPr>
          <w:rFonts w:hint="eastAsia" w:asciiTheme="minorEastAsia" w:hAnsiTheme="minorEastAsia" w:eastAsiaTheme="minorEastAsia"/>
          <w:sz w:val="28"/>
          <w:szCs w:val="28"/>
        </w:rPr>
        <w:t>2020年学院绩效评价部分问题取得实质性整改成效。一是提高财务执行率，规范政府采购和资产管理流程。2020年学院整体预算执行率已达90.42%，较2019年整体预算执行率73.13%有较大幅度提高。完成固定资产清查工作，将深圳办事处一套房产、长沙宝庆金都两套房产及一个车库录入学院资产台账，厘清学院资产总值为2.77亿元；二是推进新校区项目2021年年初正式开工建设。三是完善后勤管理机制，提高师生满意度。2020年学院已经完成教职工宿舍楼1-2栋给排水工程项目的补充合同签定与支付，简化师生校园报修流程，狠抓学生食堂质量，</w:t>
      </w:r>
      <w:r>
        <w:rPr>
          <w:rFonts w:hint="eastAsia" w:cs="Times New Roman" w:asciiTheme="minorEastAsia" w:hAnsiTheme="minorEastAsia" w:eastAsiaTheme="minorEastAsia"/>
          <w:kern w:val="2"/>
          <w:sz w:val="28"/>
          <w:szCs w:val="28"/>
        </w:rPr>
        <w:t>学生食堂获评长沙市教育局“优秀食堂”。</w:t>
      </w:r>
    </w:p>
    <w:p w14:paraId="4BB6DCF9">
      <w:pPr>
        <w:pStyle w:val="7"/>
        <w:spacing w:line="540" w:lineRule="exact"/>
        <w:ind w:left="420" w:leftChars="200"/>
        <w:rPr>
          <w:rFonts w:cs="微软雅黑" w:asciiTheme="minorEastAsia" w:hAnsiTheme="minorEastAsia" w:eastAsiaTheme="minorEastAsia"/>
          <w:sz w:val="28"/>
          <w:szCs w:val="28"/>
        </w:rPr>
      </w:pPr>
      <w:r>
        <w:rPr>
          <w:rFonts w:hint="eastAsia" w:cs="仿宋" w:asciiTheme="minorEastAsia" w:hAnsiTheme="minorEastAsia" w:eastAsiaTheme="minorEastAsia"/>
          <w:kern w:val="2"/>
          <w:sz w:val="28"/>
          <w:szCs w:val="28"/>
        </w:rPr>
        <w:t>（四）社会效应方面</w:t>
      </w:r>
    </w:p>
    <w:p w14:paraId="4A207207">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年学院在省级及以上各类媒体刊发报道198篇，积极提升学院社会影响力，打造荣誉高职院校；进一步加强文明校园创建，落实意识形态责任，荣获“湖南省文明校园”荣誉称号；深入推进智慧团建、“青年大学习”等工作，获团市委“红旗单位”“五四红旗团委”荣誉称号；严防严控疫情输入，有条不紊复工复学，获湖南省教育后勤协会“湖南省教育后勤疫情防控先进集体”荣誉称号；强化基层组织建设和党支部“五化”建设，顺利完成第一批全国样板党支部验收和第二批“头雁工程”与“先锋工程”申报工作，学院获“双带头人标兵”“党务工作示范岗”“青年教工党员示范岗”各1人，另电子工程学院党总支获选湖南省高校党建“标杆院系”称号；学院师生倾情打造的“校园慈善超市”入围长沙大学生参与社会治理志愿服务“雷锋星”重点支持项目，树立湘信院.学雷锋志愿服务品牌形象，不断提升学院知名度和影响力，发挥高职院校先进集体单位的正外部效应。</w:t>
      </w:r>
    </w:p>
    <w:p w14:paraId="2ACD0514">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（五）可持续发展方面</w:t>
      </w:r>
    </w:p>
    <w:p w14:paraId="7B8634FD">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是优化教师队伍和岗位设置，为学院发展注入新的力量。学院持续发挥“双百人才计划”和“传帮带计划”引领作用，通过人才计划的实施，给青年骨干教师压担子，有效助力学院人才队伍发展上台阶。2020年学院组织公招录取教师32名，评选三级教授2位；晋升正高职称1人、副高职称3人、中级职称33人；为69名青年教师新选聘“传帮带”指导教师。</w:t>
      </w:r>
    </w:p>
    <w:p w14:paraId="0F45D774">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入围省级教学团队2个；省职业院校教师教学能力比赛获一等奖2个，二等奖4个，三等奖3个；获“长沙市优秀教师”1名、1名教师获“长沙市校园安全管理奖”；1名教师获“长沙市防疫优秀个人”。</w:t>
      </w:r>
    </w:p>
    <w:p w14:paraId="2C76D6D7">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组织完成6名教师资格证认定工作；全年教职工校外培训60余人次，校本级培训1900余人次。持续搭建学院人才晋升梯队，走“人才治校”的可持续发展道路。</w:t>
      </w:r>
    </w:p>
    <w:p w14:paraId="225D9DF1">
      <w:pPr>
        <w:spacing w:line="576"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二是进一步</w:t>
      </w:r>
      <w:r>
        <w:rPr>
          <w:rFonts w:asciiTheme="minorEastAsia" w:hAnsiTheme="minorEastAsia" w:eastAsiaTheme="minorEastAsia"/>
          <w:sz w:val="28"/>
          <w:szCs w:val="28"/>
        </w:rPr>
        <w:t>深化绩效考核</w:t>
      </w:r>
      <w:r>
        <w:rPr>
          <w:rFonts w:hint="eastAsia" w:asciiTheme="minorEastAsia" w:hAnsiTheme="minorEastAsia" w:eastAsiaTheme="minorEastAsia"/>
          <w:sz w:val="28"/>
          <w:szCs w:val="28"/>
        </w:rPr>
        <w:t>方面体制机制</w:t>
      </w:r>
      <w:r>
        <w:rPr>
          <w:rFonts w:asciiTheme="minorEastAsia" w:hAnsiTheme="minorEastAsia" w:eastAsiaTheme="minorEastAsia"/>
          <w:sz w:val="28"/>
          <w:szCs w:val="28"/>
        </w:rPr>
        <w:t>改革，突出重点工作任务在绩效目标体系考核评价权重，按岗考核、以岗定效，引领改革向纵深推进</w:t>
      </w:r>
      <w:r>
        <w:rPr>
          <w:rFonts w:hint="eastAsia" w:asciiTheme="minorEastAsia" w:hAnsiTheme="minorEastAsia" w:eastAsiaTheme="minorEastAsia"/>
          <w:sz w:val="28"/>
          <w:szCs w:val="28"/>
        </w:rPr>
        <w:t>，</w:t>
      </w:r>
      <w:r>
        <w:rPr>
          <w:rFonts w:asciiTheme="minorEastAsia" w:hAnsiTheme="minorEastAsia" w:eastAsiaTheme="minorEastAsia"/>
          <w:sz w:val="28"/>
          <w:szCs w:val="28"/>
        </w:rPr>
        <w:t>倾斜一线、分类指导、总量控制，按学生规模为成本计量改革</w:t>
      </w:r>
      <w:r>
        <w:rPr>
          <w:rFonts w:hint="eastAsia" w:asciiTheme="minorEastAsia" w:hAnsiTheme="minorEastAsia" w:eastAsiaTheme="minorEastAsia"/>
          <w:sz w:val="28"/>
          <w:szCs w:val="28"/>
        </w:rPr>
        <w:t>，</w:t>
      </w:r>
      <w:r>
        <w:rPr>
          <w:rFonts w:asciiTheme="minorEastAsia" w:hAnsiTheme="minorEastAsia" w:eastAsiaTheme="minorEastAsia"/>
          <w:sz w:val="28"/>
          <w:szCs w:val="28"/>
        </w:rPr>
        <w:t>切实调动二级院部、职能部门和职工干事创业积极性、主动性和创造性</w:t>
      </w:r>
      <w:r>
        <w:rPr>
          <w:rFonts w:hint="eastAsia" w:asciiTheme="minorEastAsia" w:hAnsiTheme="minorEastAsia" w:eastAsiaTheme="minorEastAsia"/>
          <w:sz w:val="28"/>
          <w:szCs w:val="28"/>
        </w:rPr>
        <w:t>，走“多劳多得、能者多劳”的可持续发展道路。</w:t>
      </w:r>
    </w:p>
    <w:p w14:paraId="00B3DD53">
      <w:pPr>
        <w:spacing w:line="576" w:lineRule="exact"/>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三是就业招生再上新台阶</w:t>
      </w:r>
      <w:r>
        <w:rPr>
          <w:rFonts w:hint="eastAsia" w:asciiTheme="minorEastAsia" w:hAnsiTheme="minorEastAsia" w:eastAsiaTheme="minorEastAsia"/>
          <w:b/>
          <w:sz w:val="28"/>
          <w:szCs w:val="28"/>
        </w:rPr>
        <w:t>。</w:t>
      </w:r>
      <w:r>
        <w:rPr>
          <w:rFonts w:hint="eastAsia" w:asciiTheme="minorEastAsia" w:hAnsiTheme="minorEastAsia" w:eastAsiaTheme="minorEastAsia"/>
          <w:sz w:val="28"/>
          <w:szCs w:val="28"/>
        </w:rPr>
        <w:t>构建“融媒体+”宣传矩阵，新生报到率97.3%，2020届毕业生初次就业率80.32%，本地就业率68.39%；专升本录取学生274人。获黄炎培职业教育创业规划大赛二等奖2项，三等奖1项。连续1</w:t>
      </w:r>
      <w:r>
        <w:rPr>
          <w:rFonts w:asciiTheme="minorEastAsia" w:hAnsiTheme="minorEastAsia" w:eastAsiaTheme="minorEastAsia"/>
          <w:sz w:val="28"/>
          <w:szCs w:val="28"/>
        </w:rPr>
        <w:t>0年</w:t>
      </w:r>
      <w:r>
        <w:rPr>
          <w:rFonts w:hint="eastAsia" w:asciiTheme="minorEastAsia" w:hAnsiTheme="minorEastAsia" w:eastAsiaTheme="minorEastAsia"/>
          <w:sz w:val="28"/>
          <w:szCs w:val="28"/>
        </w:rPr>
        <w:t>5次获得高校就业创业工作“一把手工程”优秀单位。</w:t>
      </w:r>
      <w:r>
        <w:rPr>
          <w:rFonts w:hint="eastAsia" w:asciiTheme="minorEastAsia" w:hAnsiTheme="minorEastAsia" w:eastAsiaTheme="minorEastAsia"/>
          <w:sz w:val="28"/>
          <w:szCs w:val="28"/>
          <w:lang w:eastAsia="zh-CN"/>
        </w:rPr>
        <w:t>提高学生就业率，提升学院知名度，带动学校招生量，走招生就业“双循环、互影响”的可持续发展道路。</w:t>
      </w:r>
    </w:p>
    <w:p w14:paraId="3602C5F1">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（六）服务对象满意度方面</w:t>
      </w:r>
    </w:p>
    <w:p w14:paraId="41B18D1A">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严格落实院领导接待日制度，督促解决退休职工福利待遇等问题。进一步完善绩效考核机制和职称评定方案，结合课程实际情况安排教师教学课时，提高教职工工作满意度和生活幸福指数。在充分征集教职工意见后，2020学院职代会通过了《湖南信息职业技术学院2020年度专业技术职称（职务）评审工作方案》及《湖南信息职业技术学院2020年度学生思想政治教育专业技术职称（职务）评审工作方案》。</w:t>
      </w:r>
    </w:p>
    <w:p w14:paraId="53CD8603">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坚持“一切为了学生”“为了学生一切”，始终以学生利益为出发点，切实提高学生、家长满意度。2020年学院疫情下实行封闭式校园管理复学复课50天，建立温控检查岗亭，由学生工作处领导雷锋教导团全天候守护南北两院的生命安全通道、院团委领导青年突击队免费为师生领取和派发快递3万多件，“红马甲”志愿者成为校园亮丽的风景线；学工系统组织开展了“‘后天亲人’帮你‘晒’”、“展宿舍之风采，抗疫情之匠心”的内务大比拼、“云”约理发、“书物”传情等丰富多彩的公寓文化活动，讲好战“疫”八堂课，系统培养学生爱国热情、纪律意识、诚信意识和责任感；院领导、中层领导干部、专业带头人及教研室主任坚持每月听课并反馈，为学生营造好的学习氛围。每学期院领导坚持到学生食堂陪餐，提高学生食堂的伙食水平。持续推动“三推三评”，启动校级资助，受益学生达2562人。投入350万元改善学生宿舍供水、加固学生宿舍窗户、改造实验室软硬件环境设备等；采购200万元图书近10万册，改善办学条件；足额提取非税收入的4%，奖助学金进一步提标扩面，资助学生达2562人；向困难学生提前发放助学金、对居住在湖北疫情的学生发放生活补助；确保了学生学习生活需要，赢得了家长、学生的一致好评。</w:t>
      </w:r>
    </w:p>
    <w:p w14:paraId="25269B63">
      <w:pPr>
        <w:ind w:left="523" w:leftChars="249" w:firstLine="320" w:firstLineChars="100"/>
        <w:rPr>
          <w:rFonts w:ascii="Times New Roman" w:hAnsi="Times New Roman" w:eastAsia="黑体"/>
          <w:bCs/>
          <w:sz w:val="32"/>
          <w:szCs w:val="32"/>
        </w:rPr>
      </w:pPr>
      <w:r>
        <w:rPr>
          <w:rFonts w:hint="eastAsia" w:ascii="Times New Roman" w:hAnsi="Times New Roman" w:eastAsia="黑体"/>
          <w:bCs/>
          <w:sz w:val="32"/>
          <w:szCs w:val="32"/>
        </w:rPr>
        <w:t>九、</w:t>
      </w:r>
      <w:r>
        <w:rPr>
          <w:rFonts w:ascii="Times New Roman" w:hAnsi="Times New Roman" w:eastAsia="黑体"/>
          <w:bCs/>
          <w:sz w:val="32"/>
          <w:szCs w:val="32"/>
        </w:rPr>
        <w:t>存在的问题</w:t>
      </w:r>
      <w:r>
        <w:rPr>
          <w:rFonts w:hint="eastAsia" w:ascii="Times New Roman" w:hAnsi="Times New Roman" w:eastAsia="黑体"/>
          <w:bCs/>
          <w:sz w:val="32"/>
          <w:szCs w:val="32"/>
        </w:rPr>
        <w:t>及原因分析</w:t>
      </w:r>
    </w:p>
    <w:p w14:paraId="187F0FE6">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hint="eastAsia" w:asciiTheme="minorEastAsia" w:hAnsiTheme="minorEastAsia" w:eastAsiaTheme="minorEastAsia"/>
          <w:sz w:val="28"/>
          <w:szCs w:val="28"/>
          <w:lang w:eastAsia="zh-CN"/>
        </w:rPr>
        <w:t>部分</w:t>
      </w:r>
      <w:r>
        <w:rPr>
          <w:rFonts w:hint="eastAsia" w:asciiTheme="minorEastAsia" w:hAnsiTheme="minorEastAsia" w:eastAsiaTheme="minorEastAsia"/>
          <w:sz w:val="28"/>
          <w:szCs w:val="28"/>
        </w:rPr>
        <w:t>季度预算执行率较低，存在年底突击花钱现象。2020年</w:t>
      </w:r>
      <w:r>
        <w:rPr>
          <w:rFonts w:hint="eastAsia" w:asciiTheme="minorEastAsia" w:hAnsiTheme="minorEastAsia" w:eastAsiaTheme="minorEastAsia"/>
          <w:sz w:val="28"/>
          <w:szCs w:val="28"/>
          <w:lang w:eastAsia="zh-CN"/>
        </w:rPr>
        <w:t>部分</w:t>
      </w:r>
      <w:r>
        <w:rPr>
          <w:rFonts w:hint="eastAsia" w:asciiTheme="minorEastAsia" w:hAnsiTheme="minorEastAsia" w:eastAsiaTheme="minorEastAsia"/>
          <w:sz w:val="28"/>
          <w:szCs w:val="28"/>
        </w:rPr>
        <w:t>季度预算执行率未达到财政绩效评价季度时点的要求。主要原因是2020年疫情缘故，学院推迟到5月份才复工复学，导致</w:t>
      </w:r>
      <w:r>
        <w:rPr>
          <w:rFonts w:hint="eastAsia" w:asciiTheme="minorEastAsia" w:hAnsiTheme="minorEastAsia" w:eastAsiaTheme="minorEastAsia"/>
          <w:sz w:val="28"/>
          <w:szCs w:val="28"/>
          <w:lang w:eastAsia="zh-CN"/>
        </w:rPr>
        <w:t>二、三</w:t>
      </w:r>
      <w:r>
        <w:rPr>
          <w:rFonts w:hint="eastAsia" w:asciiTheme="minorEastAsia" w:hAnsiTheme="minorEastAsia" w:eastAsiaTheme="minorEastAsia"/>
          <w:sz w:val="28"/>
          <w:szCs w:val="28"/>
        </w:rPr>
        <w:t>季度预算执行率偏低。</w:t>
      </w:r>
    </w:p>
    <w:p w14:paraId="291F56DD">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（二）年中预算调整率</w:t>
      </w:r>
      <w:r>
        <w:rPr>
          <w:rFonts w:hint="eastAsia" w:asciiTheme="minorEastAsia" w:hAnsiTheme="minorEastAsia" w:eastAsiaTheme="minorEastAsia"/>
          <w:sz w:val="28"/>
          <w:szCs w:val="28"/>
          <w:lang w:eastAsia="zh-CN"/>
        </w:rPr>
        <w:t>略高</w:t>
      </w:r>
      <w:r>
        <w:rPr>
          <w:rFonts w:hint="eastAsia" w:asciiTheme="minorEastAsia" w:hAnsiTheme="minorEastAsia" w:eastAsiaTheme="minorEastAsia"/>
          <w:sz w:val="28"/>
          <w:szCs w:val="28"/>
        </w:rPr>
        <w:t>。2020年学院预算调整率高于财政要求的5%，主要原因是2019年底学院新进员工32人，</w:t>
      </w:r>
      <w:r>
        <w:rPr>
          <w:rFonts w:hint="eastAsia" w:asciiTheme="minorEastAsia" w:hAnsiTheme="minorEastAsia" w:eastAsiaTheme="minorEastAsia"/>
          <w:sz w:val="28"/>
          <w:szCs w:val="28"/>
          <w:lang w:eastAsia="zh-CN"/>
        </w:rPr>
        <w:t>因</w:t>
      </w:r>
      <w:r>
        <w:rPr>
          <w:rFonts w:hint="eastAsia" w:asciiTheme="minorEastAsia" w:hAnsiTheme="minorEastAsia" w:eastAsiaTheme="minorEastAsia"/>
          <w:sz w:val="28"/>
          <w:szCs w:val="28"/>
        </w:rPr>
        <w:t>疫情</w:t>
      </w:r>
      <w:r>
        <w:rPr>
          <w:rFonts w:hint="eastAsia" w:asciiTheme="minorEastAsia" w:hAnsiTheme="minorEastAsia" w:eastAsiaTheme="minorEastAsia"/>
          <w:sz w:val="28"/>
          <w:szCs w:val="28"/>
          <w:lang w:eastAsia="zh-CN"/>
        </w:rPr>
        <w:t>缘故未能</w:t>
      </w:r>
      <w:r>
        <w:rPr>
          <w:rFonts w:hint="eastAsia" w:asciiTheme="minorEastAsia" w:hAnsiTheme="minorEastAsia" w:eastAsiaTheme="minorEastAsia"/>
          <w:sz w:val="28"/>
          <w:szCs w:val="28"/>
        </w:rPr>
        <w:t>及时办理入编手续，故2020年预算编制时无法将该批人员纳入预算，只能年中在人社局办完入编手续后申请预算调整。</w:t>
      </w:r>
    </w:p>
    <w:p w14:paraId="7A0A6459">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（三）政府采购执行率偏低。2020年</w:t>
      </w:r>
      <w:r>
        <w:rPr>
          <w:rFonts w:hint="eastAsia" w:asciiTheme="minorEastAsia" w:hAnsiTheme="minorEastAsia" w:eastAsiaTheme="minorEastAsia"/>
          <w:sz w:val="28"/>
          <w:szCs w:val="28"/>
          <w:lang w:eastAsia="zh-CN"/>
        </w:rPr>
        <w:t>因</w:t>
      </w:r>
      <w:r>
        <w:rPr>
          <w:rFonts w:hint="eastAsia" w:asciiTheme="minorEastAsia" w:hAnsiTheme="minorEastAsia" w:eastAsiaTheme="minorEastAsia"/>
          <w:sz w:val="28"/>
          <w:szCs w:val="28"/>
        </w:rPr>
        <w:t>疫情</w:t>
      </w:r>
      <w:r>
        <w:rPr>
          <w:rFonts w:hint="eastAsia" w:asciiTheme="minorEastAsia" w:hAnsiTheme="minorEastAsia" w:eastAsiaTheme="minorEastAsia"/>
          <w:sz w:val="28"/>
          <w:szCs w:val="28"/>
          <w:lang w:eastAsia="zh-CN"/>
        </w:rPr>
        <w:t>缘故</w:t>
      </w:r>
      <w:r>
        <w:rPr>
          <w:rFonts w:hint="eastAsia" w:asciiTheme="minorEastAsia" w:hAnsiTheme="minorEastAsia" w:eastAsiaTheme="minorEastAsia"/>
          <w:sz w:val="28"/>
          <w:szCs w:val="28"/>
        </w:rPr>
        <w:t>，学院复工复学推迟，政府采购招投标项目也相应延期，导致该年政府采购执行率较低。</w:t>
      </w:r>
    </w:p>
    <w:p w14:paraId="25CF086A">
      <w:pPr>
        <w:numPr>
          <w:ilvl w:val="0"/>
          <w:numId w:val="5"/>
        </w:numPr>
        <w:spacing w:line="540" w:lineRule="exact"/>
        <w:ind w:left="523" w:leftChars="249" w:firstLine="320" w:firstLineChars="100"/>
        <w:rPr>
          <w:rFonts w:ascii="Times New Roman" w:hAnsi="Times New Roman" w:eastAsia="仿宋"/>
          <w:sz w:val="32"/>
          <w:szCs w:val="32"/>
        </w:rPr>
      </w:pPr>
      <w:r>
        <w:rPr>
          <w:rFonts w:hint="eastAsia" w:ascii="Times New Roman" w:hAnsi="Times New Roman" w:eastAsia="黑体"/>
          <w:bCs/>
          <w:sz w:val="32"/>
          <w:szCs w:val="32"/>
        </w:rPr>
        <w:t>下一步</w:t>
      </w:r>
      <w:r>
        <w:rPr>
          <w:rFonts w:ascii="Times New Roman" w:hAnsi="Times New Roman" w:eastAsia="黑体"/>
          <w:bCs/>
          <w:sz w:val="32"/>
          <w:szCs w:val="32"/>
        </w:rPr>
        <w:t>改进措施</w:t>
      </w:r>
    </w:p>
    <w:p w14:paraId="6160EEDE">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（一）进一步提高预算执行率</w:t>
      </w:r>
    </w:p>
    <w:p w14:paraId="0AD1AB6A">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1、优化预算编制</w:t>
      </w:r>
    </w:p>
    <w:p w14:paraId="0958BA42">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继续精细化编制预算和绩效目标，做到预算资金安排准确、绩效目标明确。做到学院内部预算与财政预算同编制、同下达、同考核，避免出现预算“两张皮”的情况。</w:t>
      </w:r>
    </w:p>
    <w:p w14:paraId="6E50F450">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2、强化预算执行</w:t>
      </w:r>
    </w:p>
    <w:p w14:paraId="3362880D">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强化资金使用时间节点管理，要求各部门原则上2021年6月底前必须完成当年政府采购预算的实施，从而提高项目支出预算执行率和政府采购执行率。完善财务双月通报与讲评机制，通过对学院预算执行情况、财经政策落实情况等的通报分析，建立财务处与各部门定期沟通协调机制，开展报账员知识竞赛与培训，加快报账频率，加速项目实施，争取提前前完成相应的经费支出。 </w:t>
      </w:r>
    </w:p>
    <w:p w14:paraId="3E6F04C7">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加强预算绩效管理工作，提升预算使用效率。加强对部门绩效核定的前期论证和筹划推进准备工作，做到绩效目标量化、可考核；与财政部门衔接好预算资金安排，注重时效率，充分发挥财政资金的使用效率；明确规范细化资金的使用范围，界定清楚专项资金使用边界，提高资金使用效益，压减年末结余资金规模，提高预算完成率。</w:t>
      </w:r>
    </w:p>
    <w:p w14:paraId="55BBA880">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（二）进一步加快财政资金到位时间</w:t>
      </w:r>
    </w:p>
    <w:p w14:paraId="506F006B">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加强与财政部门的沟通联系，随时掌握财政资金拨付情况，指标下达后及时获取拨款文件，提前准备资金申请材料，保障项目资金按进度投入，尤其是关注财政资金下达时间相对滞后的项目，确保项目资金及时到位</w:t>
      </w:r>
    </w:p>
    <w:p w14:paraId="1840E138">
      <w:pPr>
        <w:spacing w:line="540" w:lineRule="exact"/>
        <w:ind w:firstLine="640" w:firstLineChars="200"/>
        <w:rPr>
          <w:rFonts w:ascii="Times New Roman" w:hAnsi="Times New Roman" w:eastAsia="黑体"/>
          <w:bCs/>
          <w:sz w:val="32"/>
          <w:szCs w:val="32"/>
        </w:rPr>
      </w:pPr>
      <w:r>
        <w:rPr>
          <w:rFonts w:hint="eastAsia" w:ascii="Times New Roman" w:hAnsi="Times New Roman" w:eastAsia="黑体"/>
          <w:bCs/>
          <w:sz w:val="32"/>
          <w:szCs w:val="32"/>
          <w:lang w:eastAsia="zh-CN"/>
        </w:rPr>
        <w:t>十一、</w:t>
      </w:r>
      <w:r>
        <w:rPr>
          <w:rFonts w:hint="eastAsia" w:ascii="Times New Roman" w:hAnsi="Times New Roman" w:eastAsia="黑体"/>
          <w:bCs/>
          <w:sz w:val="32"/>
          <w:szCs w:val="32"/>
        </w:rPr>
        <w:t>绩效自评结果拟应用和公开情况</w:t>
      </w:r>
    </w:p>
    <w:p w14:paraId="6FECA4AF">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2020绩效自评结果拟应用于2022年学院预算编制、绩效自评和学院内部项目支出绩效评价自查工作，并拟定于2021年6月30日前按照长沙市财政局有关文件要求及时公开。</w:t>
      </w:r>
    </w:p>
    <w:p w14:paraId="1A89665D">
      <w:pPr>
        <w:rPr>
          <w:rFonts w:ascii="Times New Roman" w:hAnsi="Times New Roman" w:eastAsia="黑体"/>
          <w:bCs/>
          <w:sz w:val="32"/>
          <w:szCs w:val="32"/>
        </w:rPr>
      </w:pPr>
    </w:p>
    <w:p w14:paraId="7BC37AD2">
      <w:pPr>
        <w:numPr>
          <w:ilvl w:val="0"/>
          <w:numId w:val="0"/>
        </w:numPr>
        <w:ind w:leftChars="349"/>
        <w:rPr>
          <w:rFonts w:ascii="Times New Roman" w:hAnsi="Times New Roman" w:eastAsia="仿宋"/>
          <w:sz w:val="32"/>
          <w:szCs w:val="32"/>
        </w:rPr>
      </w:pPr>
      <w:r>
        <w:rPr>
          <w:rFonts w:hint="eastAsia" w:ascii="Times New Roman" w:hAnsi="Times New Roman" w:eastAsia="黑体"/>
          <w:bCs/>
          <w:sz w:val="32"/>
          <w:szCs w:val="32"/>
          <w:lang w:eastAsia="zh-CN"/>
        </w:rPr>
        <w:t>十二、</w:t>
      </w:r>
      <w:r>
        <w:rPr>
          <w:rFonts w:hint="eastAsia" w:ascii="Times New Roman" w:hAnsi="Times New Roman" w:eastAsia="黑体"/>
          <w:bCs/>
          <w:sz w:val="32"/>
          <w:szCs w:val="32"/>
        </w:rPr>
        <w:t>其他需要说明的情况</w:t>
      </w:r>
    </w:p>
    <w:p w14:paraId="1FD0FD7E">
      <w:pPr>
        <w:rPr>
          <w:rFonts w:ascii="Times New Roman" w:hAnsi="Times New Roman" w:eastAsia="黑体"/>
          <w:bCs/>
          <w:sz w:val="32"/>
          <w:szCs w:val="32"/>
        </w:rPr>
      </w:pPr>
    </w:p>
    <w:p w14:paraId="16A416B5">
      <w:pPr>
        <w:ind w:firstLine="640"/>
        <w:rPr>
          <w:rFonts w:ascii="Times New Roman" w:hAnsi="Times New Roman" w:eastAsia="黑体"/>
          <w:bCs/>
          <w:sz w:val="32"/>
          <w:szCs w:val="32"/>
        </w:rPr>
      </w:pPr>
      <w:r>
        <w:rPr>
          <w:rFonts w:hint="eastAsia" w:ascii="Times New Roman" w:hAnsi="Times New Roman" w:eastAsia="黑体"/>
          <w:bCs/>
          <w:sz w:val="32"/>
          <w:szCs w:val="32"/>
        </w:rPr>
        <w:t>无。</w:t>
      </w:r>
    </w:p>
    <w:p w14:paraId="248589BC">
      <w:pPr>
        <w:ind w:firstLine="640"/>
        <w:rPr>
          <w:rFonts w:ascii="Times New Roman" w:hAnsi="Times New Roman" w:eastAsia="黑体"/>
          <w:bCs/>
          <w:sz w:val="32"/>
          <w:szCs w:val="32"/>
        </w:rPr>
        <w:sectPr>
          <w:type w:val="continuous"/>
          <w:pgSz w:w="11920" w:h="16840"/>
          <w:pgMar w:top="1440" w:right="1803" w:bottom="1440" w:left="1803" w:header="720" w:footer="720" w:gutter="0"/>
          <w:cols w:space="0" w:num="1"/>
        </w:sectPr>
      </w:pPr>
    </w:p>
    <w:p w14:paraId="470F3B66">
      <w:pPr>
        <w:rPr>
          <w:sz w:val="28"/>
          <w:szCs w:val="28"/>
        </w:rPr>
      </w:pPr>
    </w:p>
    <w:sectPr>
      <w:pgSz w:w="11906" w:h="16838"/>
      <w:pgMar w:top="1417" w:right="1417" w:bottom="1417"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0"/>
      <w:numFmt w:val="chineseCounting"/>
      <w:suff w:val="nothing"/>
      <w:lvlText w:val="%1、"/>
      <w:lvlJc w:val="left"/>
      <w:rPr>
        <w:rFonts w:hint="eastAsia"/>
        <w:b/>
        <w:bCs/>
      </w:rPr>
    </w:lvl>
  </w:abstractNum>
  <w:abstractNum w:abstractNumId="1">
    <w:nsid w:val="00000003"/>
    <w:multiLevelType w:val="singleLevel"/>
    <w:tmpl w:val="00000003"/>
    <w:lvl w:ilvl="0" w:tentative="0">
      <w:start w:val="5"/>
      <w:numFmt w:val="chineseCounting"/>
      <w:suff w:val="nothing"/>
      <w:lvlText w:val="%1、"/>
      <w:lvlJc w:val="left"/>
      <w:rPr>
        <w:rFonts w:hint="eastAsia"/>
        <w:lang w:val="en-US"/>
      </w:rPr>
    </w:lvl>
  </w:abstractNum>
  <w:abstractNum w:abstractNumId="2">
    <w:nsid w:val="00000004"/>
    <w:multiLevelType w:val="singleLevel"/>
    <w:tmpl w:val="00000004"/>
    <w:lvl w:ilvl="0" w:tentative="0">
      <w:start w:val="1"/>
      <w:numFmt w:val="decimal"/>
      <w:lvlText w:val="%1."/>
      <w:lvlJc w:val="left"/>
      <w:pPr>
        <w:tabs>
          <w:tab w:val="left" w:pos="312"/>
        </w:tabs>
      </w:pPr>
    </w:lvl>
  </w:abstractNum>
  <w:abstractNum w:abstractNumId="3">
    <w:nsid w:val="179BEBF1"/>
    <w:multiLevelType w:val="singleLevel"/>
    <w:tmpl w:val="179BEBF1"/>
    <w:lvl w:ilvl="0" w:tentative="0">
      <w:start w:val="2"/>
      <w:numFmt w:val="decimal"/>
      <w:suff w:val="nothing"/>
      <w:lvlText w:val="%1、"/>
      <w:lvlJc w:val="left"/>
    </w:lvl>
  </w:abstractNum>
  <w:abstractNum w:abstractNumId="4">
    <w:nsid w:val="1A6018E6"/>
    <w:multiLevelType w:val="singleLevel"/>
    <w:tmpl w:val="1A6018E6"/>
    <w:lvl w:ilvl="0" w:tentative="0">
      <w:start w:val="2"/>
      <w:numFmt w:val="chineseCounting"/>
      <w:suff w:val="nothing"/>
      <w:lvlText w:val="（%1）"/>
      <w:lvlJc w:val="left"/>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04F"/>
    <w:rsid w:val="000248A9"/>
    <w:rsid w:val="000722E4"/>
    <w:rsid w:val="00094540"/>
    <w:rsid w:val="000968C8"/>
    <w:rsid w:val="000A37A0"/>
    <w:rsid w:val="00195665"/>
    <w:rsid w:val="001B187C"/>
    <w:rsid w:val="00360F13"/>
    <w:rsid w:val="00362055"/>
    <w:rsid w:val="003C2557"/>
    <w:rsid w:val="003E6CA0"/>
    <w:rsid w:val="0040389F"/>
    <w:rsid w:val="00431EED"/>
    <w:rsid w:val="004E7AC3"/>
    <w:rsid w:val="004F22D6"/>
    <w:rsid w:val="0053152E"/>
    <w:rsid w:val="0054481B"/>
    <w:rsid w:val="005C1CBD"/>
    <w:rsid w:val="006608E9"/>
    <w:rsid w:val="0066211D"/>
    <w:rsid w:val="0066604F"/>
    <w:rsid w:val="00706009"/>
    <w:rsid w:val="0075291E"/>
    <w:rsid w:val="00754F7A"/>
    <w:rsid w:val="00781B71"/>
    <w:rsid w:val="0079241B"/>
    <w:rsid w:val="007F5248"/>
    <w:rsid w:val="008077B2"/>
    <w:rsid w:val="00832F31"/>
    <w:rsid w:val="00854A7D"/>
    <w:rsid w:val="00922A2C"/>
    <w:rsid w:val="00923C37"/>
    <w:rsid w:val="00925100"/>
    <w:rsid w:val="00A23B57"/>
    <w:rsid w:val="00AE659E"/>
    <w:rsid w:val="00B41433"/>
    <w:rsid w:val="00B95EA3"/>
    <w:rsid w:val="00C414CF"/>
    <w:rsid w:val="00C74A00"/>
    <w:rsid w:val="00CE2EDD"/>
    <w:rsid w:val="00CF4DAF"/>
    <w:rsid w:val="00D309F7"/>
    <w:rsid w:val="00E0295B"/>
    <w:rsid w:val="00E56B45"/>
    <w:rsid w:val="00EE3789"/>
    <w:rsid w:val="00F310A3"/>
    <w:rsid w:val="00F6681B"/>
    <w:rsid w:val="00F84DD3"/>
    <w:rsid w:val="01185426"/>
    <w:rsid w:val="040B750C"/>
    <w:rsid w:val="126C0B34"/>
    <w:rsid w:val="13174AB6"/>
    <w:rsid w:val="133F10A6"/>
    <w:rsid w:val="16291198"/>
    <w:rsid w:val="176C0A1A"/>
    <w:rsid w:val="18BF1999"/>
    <w:rsid w:val="18EC6234"/>
    <w:rsid w:val="1A9F5F53"/>
    <w:rsid w:val="1E397A00"/>
    <w:rsid w:val="2129437D"/>
    <w:rsid w:val="2EDA1135"/>
    <w:rsid w:val="335703FA"/>
    <w:rsid w:val="391D70D6"/>
    <w:rsid w:val="39E26E63"/>
    <w:rsid w:val="4465744B"/>
    <w:rsid w:val="4557721E"/>
    <w:rsid w:val="48AC7AF5"/>
    <w:rsid w:val="4CDE3D36"/>
    <w:rsid w:val="4EEC3FA6"/>
    <w:rsid w:val="52975F2A"/>
    <w:rsid w:val="53222C3A"/>
    <w:rsid w:val="539506F6"/>
    <w:rsid w:val="53BB55E2"/>
    <w:rsid w:val="56690F91"/>
    <w:rsid w:val="56731706"/>
    <w:rsid w:val="5876494E"/>
    <w:rsid w:val="5C4B6AF0"/>
    <w:rsid w:val="5E2965FD"/>
    <w:rsid w:val="5E477C68"/>
    <w:rsid w:val="61037404"/>
    <w:rsid w:val="63881206"/>
    <w:rsid w:val="656A463F"/>
    <w:rsid w:val="65C31734"/>
    <w:rsid w:val="6B4705E2"/>
    <w:rsid w:val="6C1D7D40"/>
    <w:rsid w:val="7337659B"/>
    <w:rsid w:val="750B3F67"/>
    <w:rsid w:val="7AFB06B9"/>
    <w:rsid w:val="7F0E1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微软雅黑" w:hAnsi="微软雅黑" w:eastAsia="微软雅黑" w:cs="微软雅黑"/>
      <w:sz w:val="18"/>
      <w:szCs w:val="18"/>
    </w:r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jc w:val="left"/>
    </w:pPr>
    <w:rPr>
      <w:rFonts w:ascii="宋体" w:hAnsi="宋体" w:cs="宋体"/>
      <w:kern w:val="0"/>
      <w:sz w:val="24"/>
    </w:rPr>
  </w:style>
  <w:style w:type="character" w:styleId="10">
    <w:name w:val="annotation reference"/>
    <w:basedOn w:val="9"/>
    <w:qFormat/>
    <w:uiPriority w:val="0"/>
    <w:rPr>
      <w:sz w:val="21"/>
      <w:szCs w:val="21"/>
    </w:rPr>
  </w:style>
  <w:style w:type="character" w:customStyle="1" w:styleId="11">
    <w:name w:val="页眉 Char"/>
    <w:basedOn w:val="9"/>
    <w:link w:val="6"/>
    <w:qFormat/>
    <w:uiPriority w:val="0"/>
    <w:rPr>
      <w:rFonts w:ascii="Calibri" w:hAnsi="Calibri"/>
      <w:kern w:val="2"/>
      <w:sz w:val="18"/>
      <w:szCs w:val="18"/>
    </w:rPr>
  </w:style>
  <w:style w:type="character" w:customStyle="1" w:styleId="12">
    <w:name w:val="页脚 Char"/>
    <w:basedOn w:val="9"/>
    <w:link w:val="5"/>
    <w:qFormat/>
    <w:uiPriority w:val="0"/>
    <w:rPr>
      <w:rFonts w:ascii="Calibri" w:hAnsi="Calibri"/>
      <w:kern w:val="2"/>
      <w:sz w:val="18"/>
      <w:szCs w:val="18"/>
    </w:rPr>
  </w:style>
  <w:style w:type="character" w:customStyle="1" w:styleId="13">
    <w:name w:val="批注框文本 Char"/>
    <w:basedOn w:val="9"/>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8.xml"/><Relationship Id="rId11" Type="http://schemas.openxmlformats.org/officeDocument/2006/relationships/customXml" Target="../customXml/item7.xml"/><Relationship Id="rId10" Type="http://schemas.openxmlformats.org/officeDocument/2006/relationships/customXml" Target="../customXml/item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CCE7A96B-DDB8-4087-8B16-AE8E046F4275}">
  <ds:schemaRefs/>
</ds:datastoreItem>
</file>

<file path=customXml/itemProps2.xml><?xml version="1.0" encoding="utf-8"?>
<ds:datastoreItem xmlns:ds="http://schemas.openxmlformats.org/officeDocument/2006/customXml" ds:itemID="{0E034DFC-D14C-4259-BBA9-8280D89ADE73}">
  <ds:schemaRefs/>
</ds:datastoreItem>
</file>

<file path=customXml/itemProps3.xml><?xml version="1.0" encoding="utf-8"?>
<ds:datastoreItem xmlns:ds="http://schemas.openxmlformats.org/officeDocument/2006/customXml" ds:itemID="{11F12DA6-40A0-4BBF-91BA-DAC51709E82B}">
  <ds:schemaRefs/>
</ds:datastoreItem>
</file>

<file path=customXml/itemProps4.xml><?xml version="1.0" encoding="utf-8"?>
<ds:datastoreItem xmlns:ds="http://schemas.openxmlformats.org/officeDocument/2006/customXml" ds:itemID="{CEB9C095-BAEB-4A92-A11C-3385D5048094}">
  <ds:schemaRefs/>
</ds:datastoreItem>
</file>

<file path=customXml/itemProps5.xml><?xml version="1.0" encoding="utf-8"?>
<ds:datastoreItem xmlns:ds="http://schemas.openxmlformats.org/officeDocument/2006/customXml" ds:itemID="{27D20606-99DC-447B-94F4-750866A2DC2D}">
  <ds:schemaRefs/>
</ds:datastoreItem>
</file>

<file path=customXml/itemProps6.xml><?xml version="1.0" encoding="utf-8"?>
<ds:datastoreItem xmlns:ds="http://schemas.openxmlformats.org/officeDocument/2006/customXml" ds:itemID="{CA1A8910-DE91-4917-ADA2-28D1B9C7A750}">
  <ds:schemaRefs/>
</ds:datastoreItem>
</file>

<file path=customXml/itemProps7.xml><?xml version="1.0" encoding="utf-8"?>
<ds:datastoreItem xmlns:ds="http://schemas.openxmlformats.org/officeDocument/2006/customXml" ds:itemID="{55DD9D34-12A9-4EA5-9250-6744C4212C9A}">
  <ds:schemaRefs/>
</ds:datastoreItem>
</file>

<file path=customXml/itemProps8.xml><?xml version="1.0" encoding="utf-8"?>
<ds:datastoreItem xmlns:ds="http://schemas.openxmlformats.org/officeDocument/2006/customXml" ds:itemID="{2DB23A5F-312C-440F-8E87-CA6459E2341D}">
  <ds:schemaRefs/>
</ds:datastoreItem>
</file>

<file path=docProps/app.xml><?xml version="1.0" encoding="utf-8"?>
<Properties xmlns="http://schemas.openxmlformats.org/officeDocument/2006/extended-properties" xmlns:vt="http://schemas.openxmlformats.org/officeDocument/2006/docPropsVTypes">
  <Template>Normal.dotm</Template>
  <Pages>19</Pages>
  <Words>9995</Words>
  <Characters>10634</Characters>
  <Lines>76</Lines>
  <Paragraphs>21</Paragraphs>
  <TotalTime>48</TotalTime>
  <ScaleCrop>false</ScaleCrop>
  <LinksUpToDate>false</LinksUpToDate>
  <CharactersWithSpaces>10651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菁菁</cp:lastModifiedBy>
  <cp:lastPrinted>2021-03-18T08:41:00Z</cp:lastPrinted>
  <dcterms:modified xsi:type="dcterms:W3CDTF">2026-03-19T07:59:50Z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48C2C60C82A44250BCF2F46082527E81</vt:lpwstr>
  </property>
  <property fmtid="{D5CDD505-2E9C-101B-9397-08002B2CF9AE}" pid="4" name="KSOTemplateDocerSaveRecord">
    <vt:lpwstr>eyJoZGlkIjoiODY0YjI3MTQ3ZjQ5ZWE1OTRhMzJkODcyZWU2ZjQ5MjYiLCJ1c2VySWQiOiIzMDUyNTM2NDMifQ==</vt:lpwstr>
  </property>
</Properties>
</file>