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94133F">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6301137C">
      <w:pPr>
        <w:widowControl/>
        <w:tabs>
          <w:tab w:val="center" w:pos="3835"/>
          <w:tab w:val="left" w:pos="6720"/>
        </w:tabs>
        <w:spacing w:before="100" w:beforeAutospacing="1" w:after="100" w:afterAutospacing="1" w:line="360" w:lineRule="auto"/>
        <w:ind w:right="641" w:firstLine="560" w:firstLineChars="200"/>
        <w:jc w:val="left"/>
        <w:rPr>
          <w:rFonts w:ascii="宋体" w:hAnsi="宋体" w:eastAsia="宋体" w:cs="宋体"/>
          <w:kern w:val="0"/>
          <w:sz w:val="28"/>
          <w:szCs w:val="28"/>
        </w:rPr>
      </w:pPr>
    </w:p>
    <w:p w14:paraId="585CAB20">
      <w:pPr>
        <w:widowControl/>
        <w:autoSpaceDE w:val="0"/>
        <w:autoSpaceDN w:val="0"/>
        <w:spacing w:before="40" w:afterLines="100" w:line="360" w:lineRule="auto"/>
        <w:ind w:firstLine="600" w:firstLineChars="200"/>
        <w:jc w:val="center"/>
        <w:textAlignment w:val="bottom"/>
        <w:rPr>
          <w:rFonts w:hint="eastAsia" w:ascii="宋体" w:hAnsi="宋体" w:eastAsia="宋体" w:cs="宋体"/>
          <w:b/>
          <w:kern w:val="0"/>
          <w:sz w:val="30"/>
          <w:szCs w:val="30"/>
        </w:rPr>
      </w:pPr>
      <w:r>
        <w:rPr>
          <w:rFonts w:hint="eastAsia" w:ascii="宋体" w:hAnsi="宋体" w:eastAsia="宋体" w:cs="宋体"/>
          <w:b/>
          <w:kern w:val="0"/>
          <w:sz w:val="30"/>
          <w:szCs w:val="30"/>
        </w:rPr>
        <w:t>中共长沙市委政策研究室</w:t>
      </w:r>
    </w:p>
    <w:p w14:paraId="3B77BD31">
      <w:pPr>
        <w:widowControl/>
        <w:autoSpaceDE w:val="0"/>
        <w:autoSpaceDN w:val="0"/>
        <w:spacing w:before="40" w:afterLines="100" w:line="360" w:lineRule="auto"/>
        <w:ind w:firstLine="600" w:firstLineChars="200"/>
        <w:jc w:val="center"/>
        <w:textAlignment w:val="bottom"/>
        <w:rPr>
          <w:rFonts w:ascii="宋体" w:hAnsi="宋体" w:eastAsia="宋体" w:cs="宋体"/>
          <w:b/>
          <w:kern w:val="0"/>
          <w:sz w:val="30"/>
          <w:szCs w:val="30"/>
        </w:rPr>
      </w:pPr>
      <w:r>
        <w:rPr>
          <w:rFonts w:hint="eastAsia" w:ascii="宋体" w:hAnsi="宋体" w:eastAsia="宋体" w:cs="宋体"/>
          <w:b/>
          <w:kern w:val="0"/>
          <w:sz w:val="30"/>
          <w:szCs w:val="30"/>
        </w:rPr>
        <w:t>2018年度部门整体支出绩效自评报告</w:t>
      </w:r>
    </w:p>
    <w:p w14:paraId="42DF9853">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6A48BAEF">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0E3FF6B2">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3F754C0D">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1D8ABCCE">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7F20CB3D">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7E5D933F">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6F42AFE2">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26CE6287">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1D10947A">
      <w:pPr>
        <w:widowControl/>
        <w:spacing w:before="100" w:beforeAutospacing="1" w:after="100" w:afterAutospacing="1" w:line="360" w:lineRule="auto"/>
        <w:ind w:right="641" w:firstLine="560" w:firstLineChars="200"/>
        <w:jc w:val="center"/>
        <w:rPr>
          <w:rFonts w:ascii="宋体" w:hAnsi="宋体" w:eastAsia="宋体" w:cs="宋体"/>
          <w:b/>
          <w:kern w:val="0"/>
          <w:sz w:val="28"/>
          <w:szCs w:val="28"/>
        </w:rPr>
      </w:pPr>
      <w:r>
        <w:rPr>
          <w:rFonts w:hint="eastAsia" w:ascii="宋体" w:hAnsi="宋体" w:eastAsia="宋体" w:cs="宋体"/>
          <w:b/>
          <w:kern w:val="0"/>
          <w:sz w:val="28"/>
          <w:szCs w:val="28"/>
        </w:rPr>
        <w:t>二○一九年二月</w:t>
      </w:r>
    </w:p>
    <w:p w14:paraId="72EFD590">
      <w:pPr>
        <w:widowControl/>
        <w:jc w:val="left"/>
        <w:rPr>
          <w:rFonts w:ascii="宋体" w:hAnsi="宋体" w:eastAsia="宋体" w:cs="宋体"/>
          <w:b/>
          <w:kern w:val="0"/>
          <w:sz w:val="32"/>
          <w:szCs w:val="32"/>
        </w:rPr>
      </w:pPr>
    </w:p>
    <w:p w14:paraId="35C987ED">
      <w:pPr>
        <w:widowControl/>
        <w:spacing w:before="100" w:beforeAutospacing="1" w:after="100" w:afterAutospacing="1" w:line="360" w:lineRule="auto"/>
        <w:ind w:right="641" w:firstLine="640" w:firstLineChars="200"/>
        <w:jc w:val="center"/>
        <w:rPr>
          <w:rFonts w:ascii="宋体" w:hAnsi="宋体" w:eastAsia="宋体" w:cs="宋体"/>
          <w:b/>
          <w:kern w:val="0"/>
          <w:sz w:val="32"/>
          <w:szCs w:val="32"/>
        </w:rPr>
      </w:pPr>
      <w:r>
        <w:rPr>
          <w:rFonts w:hint="eastAsia" w:ascii="宋体" w:hAnsi="宋体" w:eastAsia="宋体" w:cs="宋体"/>
          <w:b/>
          <w:kern w:val="0"/>
          <w:sz w:val="32"/>
          <w:szCs w:val="32"/>
        </w:rPr>
        <w:t>目录</w:t>
      </w:r>
    </w:p>
    <w:p w14:paraId="4877D9E5">
      <w:pPr>
        <w:pStyle w:val="13"/>
        <w:tabs>
          <w:tab w:val="right" w:leader="dot" w:pos="8302"/>
        </w:tabs>
        <w:rPr>
          <w:kern w:val="2"/>
          <w:sz w:val="21"/>
        </w:rPr>
      </w:pPr>
      <w:r>
        <w:rPr>
          <w:rFonts w:ascii="宋体" w:hAnsi="宋体" w:eastAsia="宋体" w:cs="宋体"/>
          <w:sz w:val="28"/>
          <w:szCs w:val="28"/>
        </w:rPr>
        <w:fldChar w:fldCharType="begin"/>
      </w:r>
      <w:r>
        <w:rPr>
          <w:rFonts w:ascii="宋体" w:hAnsi="宋体" w:eastAsia="宋体" w:cs="宋体"/>
          <w:sz w:val="28"/>
          <w:szCs w:val="28"/>
        </w:rPr>
        <w:instrText xml:space="preserve"> TOC \o "1-4" \h \z \u </w:instrText>
      </w:r>
      <w:r>
        <w:rPr>
          <w:rFonts w:ascii="宋体" w:hAnsi="宋体" w:eastAsia="宋体" w:cs="宋体"/>
          <w:sz w:val="28"/>
          <w:szCs w:val="28"/>
        </w:rPr>
        <w:fldChar w:fldCharType="separate"/>
      </w:r>
      <w:r>
        <w:fldChar w:fldCharType="begin"/>
      </w:r>
      <w:r>
        <w:instrText xml:space="preserve"> HYPERLINK \l "_Toc3228203" </w:instrText>
      </w:r>
      <w:r>
        <w:fldChar w:fldCharType="separate"/>
      </w:r>
      <w:r>
        <w:rPr>
          <w:rStyle w:val="20"/>
          <w:rFonts w:hint="eastAsia" w:ascii="宋体" w:hAnsi="宋体" w:eastAsia="宋体"/>
        </w:rPr>
        <w:t>一、部门概况</w:t>
      </w:r>
      <w:r>
        <w:tab/>
      </w:r>
      <w:r>
        <w:fldChar w:fldCharType="begin"/>
      </w:r>
      <w:r>
        <w:instrText xml:space="preserve"> PAGEREF _Toc3228203 \h </w:instrText>
      </w:r>
      <w:r>
        <w:fldChar w:fldCharType="separate"/>
      </w:r>
      <w:r>
        <w:t>1</w:t>
      </w:r>
      <w:r>
        <w:fldChar w:fldCharType="end"/>
      </w:r>
      <w:r>
        <w:fldChar w:fldCharType="end"/>
      </w:r>
    </w:p>
    <w:p w14:paraId="4F46BB3F">
      <w:pPr>
        <w:pStyle w:val="15"/>
        <w:rPr>
          <w:kern w:val="2"/>
          <w:sz w:val="21"/>
        </w:rPr>
      </w:pPr>
      <w:r>
        <w:fldChar w:fldCharType="begin"/>
      </w:r>
      <w:r>
        <w:instrText xml:space="preserve"> HYPERLINK \l "_Toc3228204" </w:instrText>
      </w:r>
      <w:r>
        <w:fldChar w:fldCharType="separate"/>
      </w:r>
      <w:r>
        <w:rPr>
          <w:rStyle w:val="20"/>
          <w:rFonts w:hint="eastAsia" w:ascii="宋体" w:hAnsi="宋体" w:eastAsia="宋体"/>
        </w:rPr>
        <w:t>（一）部门基本情况</w:t>
      </w:r>
      <w:r>
        <w:tab/>
      </w:r>
      <w:r>
        <w:fldChar w:fldCharType="begin"/>
      </w:r>
      <w:r>
        <w:instrText xml:space="preserve"> PAGEREF _Toc3228204 \h </w:instrText>
      </w:r>
      <w:r>
        <w:fldChar w:fldCharType="separate"/>
      </w:r>
      <w:r>
        <w:t>1</w:t>
      </w:r>
      <w:r>
        <w:fldChar w:fldCharType="end"/>
      </w:r>
      <w:r>
        <w:fldChar w:fldCharType="end"/>
      </w:r>
    </w:p>
    <w:p w14:paraId="3D8FA7B3">
      <w:pPr>
        <w:pStyle w:val="8"/>
        <w:tabs>
          <w:tab w:val="right" w:leader="dot" w:pos="8302"/>
        </w:tabs>
        <w:rPr>
          <w:kern w:val="2"/>
          <w:sz w:val="21"/>
        </w:rPr>
      </w:pPr>
      <w:r>
        <w:fldChar w:fldCharType="begin"/>
      </w:r>
      <w:r>
        <w:instrText xml:space="preserve"> HYPERLINK \l "_Toc3228205" </w:instrText>
      </w:r>
      <w:r>
        <w:fldChar w:fldCharType="separate"/>
      </w:r>
      <w:r>
        <w:rPr>
          <w:rStyle w:val="20"/>
          <w:rFonts w:hint="eastAsia" w:ascii="宋体" w:hAnsi="宋体" w:eastAsia="宋体"/>
        </w:rPr>
        <w:t>（</w:t>
      </w:r>
      <w:r>
        <w:rPr>
          <w:rStyle w:val="20"/>
          <w:rFonts w:ascii="宋体" w:hAnsi="宋体" w:eastAsia="宋体"/>
        </w:rPr>
        <w:t>1</w:t>
      </w:r>
      <w:r>
        <w:rPr>
          <w:rStyle w:val="20"/>
          <w:rFonts w:hint="eastAsia" w:ascii="宋体" w:hAnsi="宋体" w:eastAsia="宋体"/>
        </w:rPr>
        <w:t>）在职人员情况及机构设置情况</w:t>
      </w:r>
      <w:r>
        <w:tab/>
      </w:r>
      <w:r>
        <w:fldChar w:fldCharType="begin"/>
      </w:r>
      <w:r>
        <w:instrText xml:space="preserve"> PAGEREF _Toc3228205 \h </w:instrText>
      </w:r>
      <w:r>
        <w:fldChar w:fldCharType="separate"/>
      </w:r>
      <w:r>
        <w:t>1</w:t>
      </w:r>
      <w:r>
        <w:fldChar w:fldCharType="end"/>
      </w:r>
      <w:r>
        <w:fldChar w:fldCharType="end"/>
      </w:r>
    </w:p>
    <w:p w14:paraId="333EC018">
      <w:pPr>
        <w:pStyle w:val="8"/>
        <w:tabs>
          <w:tab w:val="right" w:leader="dot" w:pos="8302"/>
        </w:tabs>
        <w:rPr>
          <w:kern w:val="2"/>
          <w:sz w:val="21"/>
        </w:rPr>
      </w:pPr>
      <w:r>
        <w:fldChar w:fldCharType="begin"/>
      </w:r>
      <w:r>
        <w:instrText xml:space="preserve"> HYPERLINK \l "_Toc3228206" </w:instrText>
      </w:r>
      <w:r>
        <w:fldChar w:fldCharType="separate"/>
      </w:r>
      <w:r>
        <w:rPr>
          <w:rStyle w:val="20"/>
          <w:rFonts w:hint="eastAsia" w:ascii="宋体" w:hAnsi="宋体" w:eastAsia="宋体"/>
        </w:rPr>
        <w:t>（</w:t>
      </w:r>
      <w:r>
        <w:rPr>
          <w:rStyle w:val="20"/>
          <w:rFonts w:ascii="宋体" w:hAnsi="宋体" w:eastAsia="宋体"/>
        </w:rPr>
        <w:t>2</w:t>
      </w:r>
      <w:r>
        <w:rPr>
          <w:rStyle w:val="20"/>
          <w:rFonts w:hint="eastAsia" w:ascii="宋体" w:hAnsi="宋体" w:eastAsia="宋体"/>
        </w:rPr>
        <w:t>）主要工作职责</w:t>
      </w:r>
      <w:r>
        <w:tab/>
      </w:r>
      <w:r>
        <w:fldChar w:fldCharType="begin"/>
      </w:r>
      <w:r>
        <w:instrText xml:space="preserve"> PAGEREF _Toc3228206 \h </w:instrText>
      </w:r>
      <w:r>
        <w:fldChar w:fldCharType="separate"/>
      </w:r>
      <w:r>
        <w:t>1</w:t>
      </w:r>
      <w:r>
        <w:fldChar w:fldCharType="end"/>
      </w:r>
      <w:r>
        <w:fldChar w:fldCharType="end"/>
      </w:r>
    </w:p>
    <w:p w14:paraId="173C751D">
      <w:pPr>
        <w:pStyle w:val="13"/>
        <w:tabs>
          <w:tab w:val="right" w:leader="dot" w:pos="8302"/>
        </w:tabs>
        <w:rPr>
          <w:kern w:val="2"/>
          <w:sz w:val="21"/>
        </w:rPr>
      </w:pPr>
      <w:r>
        <w:fldChar w:fldCharType="begin"/>
      </w:r>
      <w:r>
        <w:instrText xml:space="preserve"> HYPERLINK \l "_Toc3228207" </w:instrText>
      </w:r>
      <w:r>
        <w:fldChar w:fldCharType="separate"/>
      </w:r>
      <w:r>
        <w:rPr>
          <w:rStyle w:val="20"/>
          <w:rFonts w:hint="eastAsia" w:ascii="宋体" w:hAnsi="宋体" w:eastAsia="宋体"/>
        </w:rPr>
        <w:t>二、部门整体支出管理及使用情况</w:t>
      </w:r>
      <w:r>
        <w:tab/>
      </w:r>
      <w:r>
        <w:fldChar w:fldCharType="begin"/>
      </w:r>
      <w:r>
        <w:instrText xml:space="preserve"> PAGEREF _Toc3228207 \h </w:instrText>
      </w:r>
      <w:r>
        <w:fldChar w:fldCharType="separate"/>
      </w:r>
      <w:r>
        <w:t>2</w:t>
      </w:r>
      <w:r>
        <w:fldChar w:fldCharType="end"/>
      </w:r>
      <w:r>
        <w:fldChar w:fldCharType="end"/>
      </w:r>
    </w:p>
    <w:p w14:paraId="39CD3032">
      <w:pPr>
        <w:pStyle w:val="15"/>
        <w:rPr>
          <w:kern w:val="2"/>
          <w:sz w:val="21"/>
        </w:rPr>
      </w:pPr>
      <w:r>
        <w:fldChar w:fldCharType="begin"/>
      </w:r>
      <w:r>
        <w:instrText xml:space="preserve"> HYPERLINK \l "_Toc3228208" </w:instrText>
      </w:r>
      <w:r>
        <w:fldChar w:fldCharType="separate"/>
      </w:r>
      <w:r>
        <w:rPr>
          <w:rStyle w:val="20"/>
          <w:rFonts w:hint="eastAsia" w:ascii="宋体" w:hAnsi="宋体" w:eastAsia="宋体"/>
        </w:rPr>
        <w:t>（一）基本支出</w:t>
      </w:r>
      <w:r>
        <w:tab/>
      </w:r>
      <w:r>
        <w:fldChar w:fldCharType="begin"/>
      </w:r>
      <w:r>
        <w:instrText xml:space="preserve"> PAGEREF _Toc3228208 \h </w:instrText>
      </w:r>
      <w:r>
        <w:fldChar w:fldCharType="separate"/>
      </w:r>
      <w:r>
        <w:t>2</w:t>
      </w:r>
      <w:r>
        <w:fldChar w:fldCharType="end"/>
      </w:r>
      <w:r>
        <w:fldChar w:fldCharType="end"/>
      </w:r>
    </w:p>
    <w:p w14:paraId="0FA1DBF3">
      <w:pPr>
        <w:pStyle w:val="15"/>
        <w:rPr>
          <w:kern w:val="2"/>
          <w:sz w:val="21"/>
        </w:rPr>
      </w:pPr>
      <w:r>
        <w:fldChar w:fldCharType="begin"/>
      </w:r>
      <w:r>
        <w:instrText xml:space="preserve"> HYPERLINK \l "_Toc3228209" </w:instrText>
      </w:r>
      <w:r>
        <w:fldChar w:fldCharType="separate"/>
      </w:r>
      <w:r>
        <w:rPr>
          <w:rStyle w:val="20"/>
          <w:rFonts w:hint="eastAsia" w:ascii="宋体" w:hAnsi="宋体" w:eastAsia="宋体"/>
        </w:rPr>
        <w:t>（二）项目支出</w:t>
      </w:r>
      <w:r>
        <w:tab/>
      </w:r>
      <w:r>
        <w:fldChar w:fldCharType="begin"/>
      </w:r>
      <w:r>
        <w:instrText xml:space="preserve"> PAGEREF _Toc3228209 \h </w:instrText>
      </w:r>
      <w:r>
        <w:fldChar w:fldCharType="separate"/>
      </w:r>
      <w:r>
        <w:t>4</w:t>
      </w:r>
      <w:r>
        <w:fldChar w:fldCharType="end"/>
      </w:r>
      <w:r>
        <w:fldChar w:fldCharType="end"/>
      </w:r>
    </w:p>
    <w:p w14:paraId="39750D80">
      <w:pPr>
        <w:pStyle w:val="13"/>
        <w:tabs>
          <w:tab w:val="right" w:leader="dot" w:pos="8302"/>
        </w:tabs>
        <w:rPr>
          <w:kern w:val="2"/>
          <w:sz w:val="21"/>
        </w:rPr>
      </w:pPr>
      <w:r>
        <w:fldChar w:fldCharType="begin"/>
      </w:r>
      <w:r>
        <w:instrText xml:space="preserve"> HYPERLINK \l "_Toc3228210" </w:instrText>
      </w:r>
      <w:r>
        <w:fldChar w:fldCharType="separate"/>
      </w:r>
      <w:r>
        <w:rPr>
          <w:rStyle w:val="20"/>
          <w:rFonts w:hint="eastAsia" w:ascii="宋体" w:hAnsi="宋体" w:eastAsia="宋体" w:cs="仿宋"/>
        </w:rPr>
        <w:t>三、资产管理情况</w:t>
      </w:r>
      <w:r>
        <w:tab/>
      </w:r>
      <w:r>
        <w:fldChar w:fldCharType="begin"/>
      </w:r>
      <w:r>
        <w:instrText xml:space="preserve"> PAGEREF _Toc3228210 \h </w:instrText>
      </w:r>
      <w:r>
        <w:fldChar w:fldCharType="separate"/>
      </w:r>
      <w:r>
        <w:t>4</w:t>
      </w:r>
      <w:r>
        <w:fldChar w:fldCharType="end"/>
      </w:r>
      <w:r>
        <w:fldChar w:fldCharType="end"/>
      </w:r>
    </w:p>
    <w:p w14:paraId="42B8050D">
      <w:pPr>
        <w:pStyle w:val="13"/>
        <w:tabs>
          <w:tab w:val="right" w:leader="dot" w:pos="8302"/>
        </w:tabs>
        <w:rPr>
          <w:kern w:val="2"/>
          <w:sz w:val="21"/>
        </w:rPr>
      </w:pPr>
      <w:r>
        <w:fldChar w:fldCharType="begin"/>
      </w:r>
      <w:r>
        <w:instrText xml:space="preserve"> HYPERLINK \l "_Toc3228211" </w:instrText>
      </w:r>
      <w:r>
        <w:fldChar w:fldCharType="separate"/>
      </w:r>
      <w:r>
        <w:rPr>
          <w:rStyle w:val="20"/>
          <w:rFonts w:hint="eastAsia" w:ascii="宋体" w:hAnsi="宋体" w:eastAsia="宋体"/>
        </w:rPr>
        <w:t>四、部门整体支出绩效情况</w:t>
      </w:r>
      <w:r>
        <w:tab/>
      </w:r>
      <w:r>
        <w:fldChar w:fldCharType="begin"/>
      </w:r>
      <w:r>
        <w:instrText xml:space="preserve"> PAGEREF _Toc3228211 \h </w:instrText>
      </w:r>
      <w:r>
        <w:fldChar w:fldCharType="separate"/>
      </w:r>
      <w:r>
        <w:t>5</w:t>
      </w:r>
      <w:r>
        <w:fldChar w:fldCharType="end"/>
      </w:r>
      <w:r>
        <w:fldChar w:fldCharType="end"/>
      </w:r>
    </w:p>
    <w:p w14:paraId="79966347">
      <w:pPr>
        <w:pStyle w:val="15"/>
        <w:rPr>
          <w:kern w:val="2"/>
          <w:sz w:val="21"/>
        </w:rPr>
      </w:pPr>
      <w:r>
        <w:fldChar w:fldCharType="begin"/>
      </w:r>
      <w:r>
        <w:instrText xml:space="preserve"> HYPERLINK \l "_Toc3228212" </w:instrText>
      </w:r>
      <w:r>
        <w:fldChar w:fldCharType="separate"/>
      </w:r>
      <w:r>
        <w:rPr>
          <w:rStyle w:val="20"/>
          <w:rFonts w:hint="eastAsia" w:ascii="宋体" w:hAnsi="宋体" w:eastAsia="宋体"/>
        </w:rPr>
        <w:t>（一）厉行节约见成效，“三公”经费有效压减</w:t>
      </w:r>
      <w:r>
        <w:tab/>
      </w:r>
      <w:r>
        <w:fldChar w:fldCharType="begin"/>
      </w:r>
      <w:r>
        <w:instrText xml:space="preserve"> PAGEREF _Toc3228212 \h </w:instrText>
      </w:r>
      <w:r>
        <w:fldChar w:fldCharType="separate"/>
      </w:r>
      <w:r>
        <w:t>5</w:t>
      </w:r>
      <w:r>
        <w:fldChar w:fldCharType="end"/>
      </w:r>
      <w:r>
        <w:fldChar w:fldCharType="end"/>
      </w:r>
    </w:p>
    <w:p w14:paraId="3DB3D46F">
      <w:pPr>
        <w:pStyle w:val="15"/>
        <w:rPr>
          <w:kern w:val="2"/>
          <w:sz w:val="21"/>
        </w:rPr>
      </w:pPr>
      <w:r>
        <w:fldChar w:fldCharType="begin"/>
      </w:r>
      <w:r>
        <w:instrText xml:space="preserve"> HYPERLINK \l "_Toc3228213" </w:instrText>
      </w:r>
      <w:r>
        <w:fldChar w:fldCharType="separate"/>
      </w:r>
      <w:r>
        <w:rPr>
          <w:rStyle w:val="20"/>
          <w:rFonts w:hint="eastAsia" w:ascii="宋体" w:hAnsi="宋体" w:eastAsia="宋体"/>
        </w:rPr>
        <w:t>（二）高质量完成综合文稿起草任务，反响良好</w:t>
      </w:r>
      <w:r>
        <w:tab/>
      </w:r>
      <w:r>
        <w:fldChar w:fldCharType="begin"/>
      </w:r>
      <w:r>
        <w:instrText xml:space="preserve"> PAGEREF _Toc3228213 \h </w:instrText>
      </w:r>
      <w:r>
        <w:fldChar w:fldCharType="separate"/>
      </w:r>
      <w:r>
        <w:t>5</w:t>
      </w:r>
      <w:r>
        <w:fldChar w:fldCharType="end"/>
      </w:r>
      <w:r>
        <w:fldChar w:fldCharType="end"/>
      </w:r>
    </w:p>
    <w:p w14:paraId="30B59C43">
      <w:pPr>
        <w:pStyle w:val="15"/>
        <w:rPr>
          <w:kern w:val="2"/>
          <w:sz w:val="21"/>
        </w:rPr>
      </w:pPr>
      <w:r>
        <w:fldChar w:fldCharType="begin"/>
      </w:r>
      <w:r>
        <w:instrText xml:space="preserve"> HYPERLINK \l "_Toc3228214" </w:instrText>
      </w:r>
      <w:r>
        <w:fldChar w:fldCharType="separate"/>
      </w:r>
      <w:r>
        <w:rPr>
          <w:rStyle w:val="20"/>
          <w:rFonts w:hint="eastAsia" w:ascii="宋体" w:hAnsi="宋体" w:eastAsia="宋体"/>
        </w:rPr>
        <w:t>（三）牵头推进全面深化改革工作，成效显著</w:t>
      </w:r>
      <w:r>
        <w:tab/>
      </w:r>
      <w:r>
        <w:fldChar w:fldCharType="begin"/>
      </w:r>
      <w:r>
        <w:instrText xml:space="preserve"> PAGEREF _Toc3228214 \h </w:instrText>
      </w:r>
      <w:r>
        <w:fldChar w:fldCharType="separate"/>
      </w:r>
      <w:r>
        <w:t>5</w:t>
      </w:r>
      <w:r>
        <w:fldChar w:fldCharType="end"/>
      </w:r>
      <w:r>
        <w:fldChar w:fldCharType="end"/>
      </w:r>
    </w:p>
    <w:p w14:paraId="4C67F124">
      <w:pPr>
        <w:pStyle w:val="15"/>
        <w:rPr>
          <w:kern w:val="2"/>
          <w:sz w:val="21"/>
        </w:rPr>
      </w:pPr>
      <w:r>
        <w:fldChar w:fldCharType="begin"/>
      </w:r>
      <w:r>
        <w:instrText xml:space="preserve"> HYPERLINK \l "_Toc3228215" </w:instrText>
      </w:r>
      <w:r>
        <w:fldChar w:fldCharType="separate"/>
      </w:r>
      <w:r>
        <w:rPr>
          <w:rStyle w:val="20"/>
          <w:rFonts w:hint="eastAsia" w:ascii="宋体" w:hAnsi="宋体" w:eastAsia="宋体"/>
        </w:rPr>
        <w:t>（四）牵头组织</w:t>
      </w:r>
      <w:r>
        <w:rPr>
          <w:rStyle w:val="20"/>
          <w:rFonts w:ascii="宋体" w:hAnsi="宋体" w:eastAsia="宋体"/>
        </w:rPr>
        <w:t>“</w:t>
      </w:r>
      <w:r>
        <w:rPr>
          <w:rStyle w:val="20"/>
          <w:rFonts w:hint="eastAsia" w:ascii="宋体" w:hAnsi="宋体" w:eastAsia="宋体"/>
        </w:rPr>
        <w:t>大调研</w:t>
      </w:r>
      <w:r>
        <w:rPr>
          <w:rStyle w:val="20"/>
          <w:rFonts w:ascii="宋体" w:hAnsi="宋体" w:eastAsia="宋体"/>
        </w:rPr>
        <w:t>”</w:t>
      </w:r>
      <w:r>
        <w:rPr>
          <w:rStyle w:val="20"/>
          <w:rFonts w:hint="eastAsia" w:ascii="宋体" w:hAnsi="宋体" w:eastAsia="宋体"/>
        </w:rPr>
        <w:t>活动，有效助推我市高质量发展</w:t>
      </w:r>
      <w:r>
        <w:tab/>
      </w:r>
      <w:r>
        <w:fldChar w:fldCharType="begin"/>
      </w:r>
      <w:r>
        <w:instrText xml:space="preserve"> PAGEREF _Toc3228215 \h </w:instrText>
      </w:r>
      <w:r>
        <w:fldChar w:fldCharType="separate"/>
      </w:r>
      <w:r>
        <w:t>7</w:t>
      </w:r>
      <w:r>
        <w:fldChar w:fldCharType="end"/>
      </w:r>
      <w:r>
        <w:fldChar w:fldCharType="end"/>
      </w:r>
    </w:p>
    <w:p w14:paraId="4762FCEC">
      <w:pPr>
        <w:pStyle w:val="15"/>
        <w:rPr>
          <w:kern w:val="2"/>
          <w:sz w:val="21"/>
        </w:rPr>
      </w:pPr>
      <w:r>
        <w:fldChar w:fldCharType="begin"/>
      </w:r>
      <w:r>
        <w:instrText xml:space="preserve"> HYPERLINK \l "_Toc3228216" </w:instrText>
      </w:r>
      <w:r>
        <w:fldChar w:fldCharType="separate"/>
      </w:r>
      <w:r>
        <w:rPr>
          <w:rStyle w:val="20"/>
          <w:rFonts w:hint="eastAsia" w:ascii="宋体" w:hAnsi="宋体" w:eastAsia="宋体"/>
        </w:rPr>
        <w:t>（五）在省级以上刊物发表多项文章，扩大了长沙影响力，提高了城市的美誉度</w:t>
      </w:r>
      <w:r>
        <w:tab/>
      </w:r>
      <w:r>
        <w:fldChar w:fldCharType="begin"/>
      </w:r>
      <w:r>
        <w:instrText xml:space="preserve"> PAGEREF _Toc3228216 \h </w:instrText>
      </w:r>
      <w:r>
        <w:fldChar w:fldCharType="separate"/>
      </w:r>
      <w:r>
        <w:t>7</w:t>
      </w:r>
      <w:r>
        <w:fldChar w:fldCharType="end"/>
      </w:r>
      <w:r>
        <w:fldChar w:fldCharType="end"/>
      </w:r>
    </w:p>
    <w:p w14:paraId="03771EAD">
      <w:pPr>
        <w:pStyle w:val="15"/>
        <w:rPr>
          <w:kern w:val="2"/>
          <w:sz w:val="21"/>
        </w:rPr>
      </w:pPr>
      <w:r>
        <w:fldChar w:fldCharType="begin"/>
      </w:r>
      <w:r>
        <w:instrText xml:space="preserve"> HYPERLINK \l "_Toc3228217" </w:instrText>
      </w:r>
      <w:r>
        <w:fldChar w:fldCharType="separate"/>
      </w:r>
      <w:r>
        <w:rPr>
          <w:rStyle w:val="20"/>
          <w:rFonts w:hint="eastAsia" w:ascii="宋体" w:hAnsi="宋体" w:eastAsia="宋体"/>
        </w:rPr>
        <w:t>（六）做好有关政策文件起草工作，为全市重点工作提供了指导和遵循</w:t>
      </w:r>
      <w:r>
        <w:tab/>
      </w:r>
      <w:r>
        <w:fldChar w:fldCharType="begin"/>
      </w:r>
      <w:r>
        <w:instrText xml:space="preserve"> PAGEREF _Toc3228217 \h </w:instrText>
      </w:r>
      <w:r>
        <w:fldChar w:fldCharType="separate"/>
      </w:r>
      <w:r>
        <w:t>8</w:t>
      </w:r>
      <w:r>
        <w:fldChar w:fldCharType="end"/>
      </w:r>
      <w:r>
        <w:fldChar w:fldCharType="end"/>
      </w:r>
    </w:p>
    <w:p w14:paraId="1DE53F20">
      <w:pPr>
        <w:pStyle w:val="15"/>
        <w:rPr>
          <w:kern w:val="2"/>
          <w:sz w:val="21"/>
        </w:rPr>
      </w:pPr>
      <w:r>
        <w:fldChar w:fldCharType="begin"/>
      </w:r>
      <w:r>
        <w:instrText xml:space="preserve"> HYPERLINK \l "_Toc3228218" </w:instrText>
      </w:r>
      <w:r>
        <w:fldChar w:fldCharType="separate"/>
      </w:r>
      <w:r>
        <w:rPr>
          <w:rStyle w:val="20"/>
          <w:rFonts w:hint="eastAsia" w:ascii="宋体" w:hAnsi="宋体" w:eastAsia="宋体"/>
        </w:rPr>
        <w:t>（七）开展专项调研，为转化为全市经济社会发展的实质性政策措施，产生了积极效应</w:t>
      </w:r>
      <w:r>
        <w:tab/>
      </w:r>
      <w:r>
        <w:fldChar w:fldCharType="begin"/>
      </w:r>
      <w:r>
        <w:instrText xml:space="preserve"> PAGEREF _Toc3228218 \h </w:instrText>
      </w:r>
      <w:r>
        <w:fldChar w:fldCharType="separate"/>
      </w:r>
      <w:r>
        <w:t>8</w:t>
      </w:r>
      <w:r>
        <w:fldChar w:fldCharType="end"/>
      </w:r>
      <w:r>
        <w:fldChar w:fldCharType="end"/>
      </w:r>
    </w:p>
    <w:p w14:paraId="5D702B52">
      <w:pPr>
        <w:pStyle w:val="15"/>
        <w:rPr>
          <w:kern w:val="2"/>
          <w:sz w:val="21"/>
        </w:rPr>
      </w:pPr>
      <w:r>
        <w:fldChar w:fldCharType="begin"/>
      </w:r>
      <w:r>
        <w:instrText xml:space="preserve"> HYPERLINK \l "_Toc3228219" </w:instrText>
      </w:r>
      <w:r>
        <w:fldChar w:fldCharType="separate"/>
      </w:r>
      <w:r>
        <w:rPr>
          <w:rStyle w:val="20"/>
          <w:rFonts w:hint="eastAsia" w:ascii="宋体" w:hAnsi="宋体" w:eastAsia="宋体"/>
        </w:rPr>
        <w:t>（八）加强全面深化改革工作督察，获得督察组充分肯定</w:t>
      </w:r>
      <w:r>
        <w:tab/>
      </w:r>
      <w:r>
        <w:fldChar w:fldCharType="begin"/>
      </w:r>
      <w:r>
        <w:instrText xml:space="preserve"> PAGEREF _Toc3228219 \h </w:instrText>
      </w:r>
      <w:r>
        <w:fldChar w:fldCharType="separate"/>
      </w:r>
      <w:r>
        <w:t>9</w:t>
      </w:r>
      <w:r>
        <w:fldChar w:fldCharType="end"/>
      </w:r>
      <w:r>
        <w:fldChar w:fldCharType="end"/>
      </w:r>
    </w:p>
    <w:p w14:paraId="08298089">
      <w:pPr>
        <w:pStyle w:val="15"/>
        <w:rPr>
          <w:kern w:val="2"/>
          <w:sz w:val="21"/>
        </w:rPr>
      </w:pPr>
      <w:r>
        <w:fldChar w:fldCharType="begin"/>
      </w:r>
      <w:r>
        <w:instrText xml:space="preserve"> HYPERLINK \l "_Toc3228220" </w:instrText>
      </w:r>
      <w:r>
        <w:fldChar w:fldCharType="separate"/>
      </w:r>
      <w:r>
        <w:rPr>
          <w:rStyle w:val="20"/>
          <w:rFonts w:hint="eastAsia" w:ascii="宋体" w:hAnsi="宋体" w:eastAsia="宋体"/>
        </w:rPr>
        <w:t>（九）通过《长沙调研》、《长沙通讯》平台促进资源共享、对改革开放、党建设规划作出宣传引导</w:t>
      </w:r>
      <w:r>
        <w:tab/>
      </w:r>
      <w:r>
        <w:fldChar w:fldCharType="begin"/>
      </w:r>
      <w:r>
        <w:instrText xml:space="preserve"> PAGEREF _Toc3228220 \h </w:instrText>
      </w:r>
      <w:r>
        <w:fldChar w:fldCharType="separate"/>
      </w:r>
      <w:r>
        <w:t>10</w:t>
      </w:r>
      <w:r>
        <w:fldChar w:fldCharType="end"/>
      </w:r>
      <w:r>
        <w:fldChar w:fldCharType="end"/>
      </w:r>
    </w:p>
    <w:p w14:paraId="390A449C">
      <w:pPr>
        <w:pStyle w:val="15"/>
        <w:rPr>
          <w:kern w:val="2"/>
          <w:sz w:val="21"/>
        </w:rPr>
      </w:pPr>
      <w:r>
        <w:fldChar w:fldCharType="begin"/>
      </w:r>
      <w:r>
        <w:instrText xml:space="preserve"> HYPERLINK \l "_Toc3228221" </w:instrText>
      </w:r>
      <w:r>
        <w:fldChar w:fldCharType="separate"/>
      </w:r>
      <w:r>
        <w:rPr>
          <w:rStyle w:val="20"/>
          <w:rFonts w:hint="eastAsia" w:ascii="宋体" w:hAnsi="宋体" w:eastAsia="宋体"/>
        </w:rPr>
        <w:t>（十）撰写总结性材料，全面客观展示了长沙的工作成绩和特色亮点</w:t>
      </w:r>
      <w:r>
        <w:tab/>
      </w:r>
      <w:r>
        <w:fldChar w:fldCharType="begin"/>
      </w:r>
      <w:r>
        <w:instrText xml:space="preserve"> PAGEREF _Toc3228221 \h </w:instrText>
      </w:r>
      <w:r>
        <w:fldChar w:fldCharType="separate"/>
      </w:r>
      <w:r>
        <w:t>10</w:t>
      </w:r>
      <w:r>
        <w:fldChar w:fldCharType="end"/>
      </w:r>
      <w:r>
        <w:fldChar w:fldCharType="end"/>
      </w:r>
    </w:p>
    <w:p w14:paraId="7C36E3F5">
      <w:pPr>
        <w:pStyle w:val="15"/>
        <w:rPr>
          <w:kern w:val="2"/>
          <w:sz w:val="21"/>
        </w:rPr>
      </w:pPr>
      <w:r>
        <w:fldChar w:fldCharType="begin"/>
      </w:r>
      <w:r>
        <w:instrText xml:space="preserve"> HYPERLINK \l "_Toc3228222" </w:instrText>
      </w:r>
      <w:r>
        <w:fldChar w:fldCharType="separate"/>
      </w:r>
      <w:r>
        <w:rPr>
          <w:rStyle w:val="20"/>
          <w:rFonts w:hint="eastAsia" w:ascii="宋体" w:hAnsi="宋体" w:eastAsia="宋体"/>
        </w:rPr>
        <w:t>（十一）高质量撰写多项呈报性综合材料、为市委领导工作提供参考</w:t>
      </w:r>
      <w:r>
        <w:tab/>
      </w:r>
      <w:r>
        <w:fldChar w:fldCharType="begin"/>
      </w:r>
      <w:r>
        <w:instrText xml:space="preserve"> PAGEREF _Toc3228222 \h </w:instrText>
      </w:r>
      <w:r>
        <w:fldChar w:fldCharType="separate"/>
      </w:r>
      <w:r>
        <w:t>11</w:t>
      </w:r>
      <w:r>
        <w:fldChar w:fldCharType="end"/>
      </w:r>
      <w:r>
        <w:fldChar w:fldCharType="end"/>
      </w:r>
    </w:p>
    <w:p w14:paraId="7D75414A">
      <w:pPr>
        <w:pStyle w:val="15"/>
        <w:rPr>
          <w:kern w:val="2"/>
          <w:sz w:val="21"/>
        </w:rPr>
      </w:pPr>
      <w:r>
        <w:fldChar w:fldCharType="begin"/>
      </w:r>
      <w:r>
        <w:instrText xml:space="preserve"> HYPERLINK \l "_Toc3228223" </w:instrText>
      </w:r>
      <w:r>
        <w:fldChar w:fldCharType="separate"/>
      </w:r>
      <w:r>
        <w:rPr>
          <w:rStyle w:val="20"/>
          <w:rFonts w:hint="eastAsia" w:ascii="宋体" w:hAnsi="宋体" w:eastAsia="宋体"/>
        </w:rPr>
        <w:t>（十二）学习十九大精神，落实党风廉政建设“两个责任”，开展党的群众路线教育实践活动、切实改进工作作风</w:t>
      </w:r>
      <w:r>
        <w:tab/>
      </w:r>
      <w:r>
        <w:fldChar w:fldCharType="begin"/>
      </w:r>
      <w:r>
        <w:instrText xml:space="preserve"> PAGEREF _Toc3228223 \h </w:instrText>
      </w:r>
      <w:r>
        <w:fldChar w:fldCharType="separate"/>
      </w:r>
      <w:r>
        <w:t>11</w:t>
      </w:r>
      <w:r>
        <w:fldChar w:fldCharType="end"/>
      </w:r>
      <w:r>
        <w:fldChar w:fldCharType="end"/>
      </w:r>
    </w:p>
    <w:p w14:paraId="17F57A09">
      <w:pPr>
        <w:pStyle w:val="15"/>
        <w:rPr>
          <w:kern w:val="2"/>
          <w:sz w:val="21"/>
        </w:rPr>
      </w:pPr>
      <w:r>
        <w:fldChar w:fldCharType="begin"/>
      </w:r>
      <w:r>
        <w:instrText xml:space="preserve"> HYPERLINK \l "_Toc3228224" </w:instrText>
      </w:r>
      <w:r>
        <w:fldChar w:fldCharType="separate"/>
      </w:r>
      <w:r>
        <w:rPr>
          <w:rStyle w:val="20"/>
          <w:rFonts w:hint="eastAsia" w:ascii="宋体" w:hAnsi="宋体" w:eastAsia="宋体"/>
        </w:rPr>
        <w:t>（十三）加强党建、干部、人才和统战工作，完善制度建设，培养新人才</w:t>
      </w:r>
      <w:r>
        <w:tab/>
      </w:r>
      <w:r>
        <w:fldChar w:fldCharType="begin"/>
      </w:r>
      <w:r>
        <w:instrText xml:space="preserve"> PAGEREF _Toc3228224 \h </w:instrText>
      </w:r>
      <w:r>
        <w:fldChar w:fldCharType="separate"/>
      </w:r>
      <w:r>
        <w:t>12</w:t>
      </w:r>
      <w:r>
        <w:fldChar w:fldCharType="end"/>
      </w:r>
      <w:r>
        <w:fldChar w:fldCharType="end"/>
      </w:r>
    </w:p>
    <w:p w14:paraId="36F61CB4">
      <w:pPr>
        <w:pStyle w:val="13"/>
        <w:tabs>
          <w:tab w:val="right" w:leader="dot" w:pos="8302"/>
        </w:tabs>
        <w:rPr>
          <w:kern w:val="2"/>
          <w:sz w:val="21"/>
        </w:rPr>
      </w:pPr>
      <w:r>
        <w:fldChar w:fldCharType="begin"/>
      </w:r>
      <w:r>
        <w:instrText xml:space="preserve"> HYPERLINK \l "_Toc3228225" </w:instrText>
      </w:r>
      <w:r>
        <w:fldChar w:fldCharType="separate"/>
      </w:r>
      <w:r>
        <w:rPr>
          <w:rStyle w:val="20"/>
          <w:rFonts w:hint="eastAsia" w:ascii="宋体" w:hAnsi="宋体" w:eastAsia="宋体"/>
        </w:rPr>
        <w:t>五、存在的主要问题</w:t>
      </w:r>
      <w:r>
        <w:tab/>
      </w:r>
      <w:r>
        <w:fldChar w:fldCharType="begin"/>
      </w:r>
      <w:r>
        <w:instrText xml:space="preserve"> PAGEREF _Toc3228225 \h </w:instrText>
      </w:r>
      <w:r>
        <w:fldChar w:fldCharType="separate"/>
      </w:r>
      <w:r>
        <w:t>13</w:t>
      </w:r>
      <w:r>
        <w:fldChar w:fldCharType="end"/>
      </w:r>
      <w:r>
        <w:fldChar w:fldCharType="end"/>
      </w:r>
    </w:p>
    <w:p w14:paraId="19CCC060">
      <w:pPr>
        <w:pStyle w:val="15"/>
        <w:rPr>
          <w:kern w:val="2"/>
          <w:sz w:val="21"/>
        </w:rPr>
      </w:pPr>
      <w:r>
        <w:fldChar w:fldCharType="begin"/>
      </w:r>
      <w:r>
        <w:instrText xml:space="preserve"> HYPERLINK \l "_Toc3228226" </w:instrText>
      </w:r>
      <w:r>
        <w:fldChar w:fldCharType="separate"/>
      </w:r>
      <w:r>
        <w:rPr>
          <w:rStyle w:val="20"/>
          <w:rFonts w:hint="eastAsia" w:ascii="宋体" w:hAnsi="宋体" w:eastAsia="宋体"/>
        </w:rPr>
        <w:t>（一）预算编制不够完善</w:t>
      </w:r>
      <w:r>
        <w:tab/>
      </w:r>
      <w:r>
        <w:fldChar w:fldCharType="begin"/>
      </w:r>
      <w:r>
        <w:instrText xml:space="preserve"> PAGEREF _Toc3228226 \h </w:instrText>
      </w:r>
      <w:r>
        <w:fldChar w:fldCharType="separate"/>
      </w:r>
      <w:r>
        <w:t>13</w:t>
      </w:r>
      <w:r>
        <w:fldChar w:fldCharType="end"/>
      </w:r>
      <w:r>
        <w:fldChar w:fldCharType="end"/>
      </w:r>
    </w:p>
    <w:p w14:paraId="1D39FBA1">
      <w:pPr>
        <w:pStyle w:val="15"/>
        <w:rPr>
          <w:kern w:val="2"/>
          <w:sz w:val="21"/>
        </w:rPr>
      </w:pPr>
      <w:r>
        <w:fldChar w:fldCharType="begin"/>
      </w:r>
      <w:r>
        <w:instrText xml:space="preserve"> HYPERLINK \l "_Toc3228227" </w:instrText>
      </w:r>
      <w:r>
        <w:fldChar w:fldCharType="separate"/>
      </w:r>
      <w:r>
        <w:rPr>
          <w:rStyle w:val="20"/>
          <w:rFonts w:hint="eastAsia" w:ascii="宋体" w:hAnsi="宋体" w:eastAsia="宋体"/>
        </w:rPr>
        <w:t>（二）预算执行存在偏差</w:t>
      </w:r>
      <w:r>
        <w:tab/>
      </w:r>
      <w:r>
        <w:fldChar w:fldCharType="begin"/>
      </w:r>
      <w:r>
        <w:instrText xml:space="preserve"> PAGEREF _Toc3228227 \h </w:instrText>
      </w:r>
      <w:r>
        <w:fldChar w:fldCharType="separate"/>
      </w:r>
      <w:r>
        <w:t>13</w:t>
      </w:r>
      <w:r>
        <w:fldChar w:fldCharType="end"/>
      </w:r>
      <w:r>
        <w:fldChar w:fldCharType="end"/>
      </w:r>
    </w:p>
    <w:p w14:paraId="20A2BA18">
      <w:pPr>
        <w:pStyle w:val="15"/>
        <w:rPr>
          <w:kern w:val="2"/>
          <w:sz w:val="21"/>
        </w:rPr>
      </w:pPr>
      <w:r>
        <w:fldChar w:fldCharType="begin"/>
      </w:r>
      <w:r>
        <w:instrText xml:space="preserve"> HYPERLINK \l "_Toc3228228" </w:instrText>
      </w:r>
      <w:r>
        <w:fldChar w:fldCharType="separate"/>
      </w:r>
      <w:r>
        <w:rPr>
          <w:rStyle w:val="20"/>
          <w:rFonts w:hint="eastAsia" w:ascii="宋体" w:hAnsi="宋体" w:eastAsia="宋体"/>
        </w:rPr>
        <w:t>（三）固定资产管理有待加强</w:t>
      </w:r>
      <w:r>
        <w:tab/>
      </w:r>
      <w:r>
        <w:fldChar w:fldCharType="begin"/>
      </w:r>
      <w:r>
        <w:instrText xml:space="preserve"> PAGEREF _Toc3228228 \h </w:instrText>
      </w:r>
      <w:r>
        <w:fldChar w:fldCharType="separate"/>
      </w:r>
      <w:r>
        <w:t>13</w:t>
      </w:r>
      <w:r>
        <w:fldChar w:fldCharType="end"/>
      </w:r>
      <w:r>
        <w:fldChar w:fldCharType="end"/>
      </w:r>
    </w:p>
    <w:p w14:paraId="00A17913">
      <w:pPr>
        <w:pStyle w:val="13"/>
        <w:tabs>
          <w:tab w:val="right" w:leader="dot" w:pos="8302"/>
        </w:tabs>
        <w:rPr>
          <w:kern w:val="2"/>
          <w:sz w:val="21"/>
        </w:rPr>
      </w:pPr>
      <w:r>
        <w:fldChar w:fldCharType="begin"/>
      </w:r>
      <w:r>
        <w:instrText xml:space="preserve"> HYPERLINK \l "_Toc3228229" </w:instrText>
      </w:r>
      <w:r>
        <w:fldChar w:fldCharType="separate"/>
      </w:r>
      <w:r>
        <w:rPr>
          <w:rStyle w:val="20"/>
          <w:rFonts w:hint="eastAsia" w:ascii="宋体" w:hAnsi="宋体" w:eastAsia="宋体"/>
        </w:rPr>
        <w:t>六、改进措施和有关建议</w:t>
      </w:r>
      <w:r>
        <w:tab/>
      </w:r>
      <w:r>
        <w:fldChar w:fldCharType="begin"/>
      </w:r>
      <w:r>
        <w:instrText xml:space="preserve"> PAGEREF _Toc3228229 \h </w:instrText>
      </w:r>
      <w:r>
        <w:fldChar w:fldCharType="separate"/>
      </w:r>
      <w:r>
        <w:t>14</w:t>
      </w:r>
      <w:r>
        <w:fldChar w:fldCharType="end"/>
      </w:r>
      <w:r>
        <w:fldChar w:fldCharType="end"/>
      </w:r>
    </w:p>
    <w:p w14:paraId="03C0449B">
      <w:pPr>
        <w:pStyle w:val="15"/>
        <w:rPr>
          <w:kern w:val="2"/>
          <w:sz w:val="21"/>
        </w:rPr>
      </w:pPr>
      <w:r>
        <w:fldChar w:fldCharType="begin"/>
      </w:r>
      <w:r>
        <w:instrText xml:space="preserve"> HYPERLINK \l "_Toc3228230" </w:instrText>
      </w:r>
      <w:r>
        <w:fldChar w:fldCharType="separate"/>
      </w:r>
      <w:r>
        <w:rPr>
          <w:rStyle w:val="20"/>
          <w:rFonts w:hint="eastAsia" w:ascii="宋体" w:hAnsi="宋体" w:eastAsia="宋体"/>
        </w:rPr>
        <w:t>（一）科学合理编制预算，严格执行预算</w:t>
      </w:r>
      <w:r>
        <w:tab/>
      </w:r>
      <w:r>
        <w:fldChar w:fldCharType="begin"/>
      </w:r>
      <w:r>
        <w:instrText xml:space="preserve"> PAGEREF _Toc3228230 \h </w:instrText>
      </w:r>
      <w:r>
        <w:fldChar w:fldCharType="separate"/>
      </w:r>
      <w:r>
        <w:t>14</w:t>
      </w:r>
      <w:r>
        <w:fldChar w:fldCharType="end"/>
      </w:r>
      <w:r>
        <w:fldChar w:fldCharType="end"/>
      </w:r>
    </w:p>
    <w:p w14:paraId="121F2FEC">
      <w:pPr>
        <w:pStyle w:val="15"/>
        <w:rPr>
          <w:kern w:val="2"/>
          <w:sz w:val="21"/>
        </w:rPr>
      </w:pPr>
      <w:r>
        <w:fldChar w:fldCharType="begin"/>
      </w:r>
      <w:r>
        <w:instrText xml:space="preserve"> HYPERLINK \l "_Toc3228231" </w:instrText>
      </w:r>
      <w:r>
        <w:fldChar w:fldCharType="separate"/>
      </w:r>
      <w:r>
        <w:rPr>
          <w:rStyle w:val="20"/>
          <w:rFonts w:hint="eastAsia" w:ascii="宋体" w:hAnsi="宋体" w:eastAsia="宋体"/>
        </w:rPr>
        <w:t>（二）加强固定资产管理</w:t>
      </w:r>
      <w:r>
        <w:tab/>
      </w:r>
      <w:r>
        <w:fldChar w:fldCharType="begin"/>
      </w:r>
      <w:r>
        <w:instrText xml:space="preserve"> PAGEREF _Toc3228231 \h </w:instrText>
      </w:r>
      <w:r>
        <w:fldChar w:fldCharType="separate"/>
      </w:r>
      <w:r>
        <w:t>14</w:t>
      </w:r>
      <w:r>
        <w:fldChar w:fldCharType="end"/>
      </w:r>
      <w:r>
        <w:fldChar w:fldCharType="end"/>
      </w:r>
    </w:p>
    <w:p w14:paraId="27BCB367">
      <w:pPr>
        <w:pStyle w:val="13"/>
        <w:tabs>
          <w:tab w:val="right" w:leader="dot" w:pos="8302"/>
        </w:tabs>
        <w:rPr>
          <w:kern w:val="2"/>
          <w:sz w:val="21"/>
        </w:rPr>
      </w:pPr>
      <w:r>
        <w:fldChar w:fldCharType="begin"/>
      </w:r>
      <w:r>
        <w:instrText xml:space="preserve"> HYPERLINK \l "_Toc3228232" </w:instrText>
      </w:r>
      <w:r>
        <w:fldChar w:fldCharType="separate"/>
      </w:r>
      <w:r>
        <w:rPr>
          <w:rStyle w:val="20"/>
          <w:rFonts w:hint="eastAsia" w:ascii="宋体" w:hAnsi="宋体" w:eastAsia="宋体"/>
        </w:rPr>
        <w:t>七、报告附表</w:t>
      </w:r>
      <w:r>
        <w:tab/>
      </w:r>
      <w:r>
        <w:fldChar w:fldCharType="begin"/>
      </w:r>
      <w:r>
        <w:instrText xml:space="preserve"> PAGEREF _Toc3228232 \h </w:instrText>
      </w:r>
      <w:r>
        <w:fldChar w:fldCharType="separate"/>
      </w:r>
      <w:r>
        <w:t>14</w:t>
      </w:r>
      <w:r>
        <w:fldChar w:fldCharType="end"/>
      </w:r>
      <w:r>
        <w:fldChar w:fldCharType="end"/>
      </w:r>
    </w:p>
    <w:p w14:paraId="4AE01536">
      <w:pPr>
        <w:widowControl/>
        <w:spacing w:before="100" w:beforeAutospacing="1"/>
        <w:ind w:right="641"/>
        <w:jc w:val="center"/>
        <w:rPr>
          <w:rFonts w:ascii="宋体" w:hAnsi="宋体" w:eastAsia="宋体" w:cs="宋体"/>
          <w:kern w:val="0"/>
          <w:sz w:val="28"/>
          <w:szCs w:val="28"/>
        </w:rPr>
      </w:pPr>
      <w:r>
        <w:rPr>
          <w:rFonts w:ascii="宋体" w:hAnsi="宋体" w:eastAsia="宋体" w:cs="宋体"/>
          <w:kern w:val="0"/>
          <w:szCs w:val="28"/>
        </w:rPr>
        <w:fldChar w:fldCharType="end"/>
      </w:r>
    </w:p>
    <w:p w14:paraId="4AE224DB">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1222BE65">
      <w:pPr>
        <w:widowControl/>
        <w:spacing w:before="100" w:beforeAutospacing="1" w:after="100" w:afterAutospacing="1" w:line="360" w:lineRule="auto"/>
        <w:ind w:right="641" w:firstLine="560" w:firstLineChars="200"/>
        <w:jc w:val="center"/>
        <w:rPr>
          <w:rFonts w:ascii="宋体" w:hAnsi="宋体" w:eastAsia="宋体" w:cs="宋体"/>
          <w:kern w:val="0"/>
          <w:sz w:val="28"/>
          <w:szCs w:val="28"/>
        </w:rPr>
      </w:pPr>
    </w:p>
    <w:p w14:paraId="71D977C3">
      <w:pPr>
        <w:widowControl/>
        <w:spacing w:before="100" w:beforeAutospacing="1" w:after="100" w:afterAutospacing="1" w:line="360" w:lineRule="auto"/>
        <w:ind w:right="641"/>
        <w:rPr>
          <w:rFonts w:ascii="宋体" w:hAnsi="宋体" w:eastAsia="宋体" w:cs="宋体"/>
          <w:kern w:val="0"/>
          <w:sz w:val="28"/>
          <w:szCs w:val="28"/>
        </w:rPr>
        <w:sectPr>
          <w:footerReference r:id="rId4" w:type="first"/>
          <w:headerReference r:id="rId3" w:type="default"/>
          <w:pgSz w:w="11906" w:h="16838"/>
          <w:pgMar w:top="1440" w:right="1797" w:bottom="1440" w:left="1797" w:header="851" w:footer="992" w:gutter="0"/>
          <w:pgNumType w:start="0"/>
          <w:cols w:space="425" w:num="1"/>
          <w:titlePg/>
          <w:docGrid w:type="linesAndChars" w:linePitch="312" w:charSpace="0"/>
        </w:sectPr>
      </w:pPr>
    </w:p>
    <w:p w14:paraId="5D4B9EA2">
      <w:pPr>
        <w:widowControl/>
        <w:spacing w:before="100" w:beforeAutospacing="1" w:after="100" w:afterAutospacing="1" w:line="360" w:lineRule="auto"/>
        <w:ind w:right="641"/>
        <w:rPr>
          <w:rFonts w:ascii="宋体" w:hAnsi="宋体" w:eastAsia="宋体" w:cs="宋体"/>
          <w:kern w:val="0"/>
          <w:sz w:val="28"/>
          <w:szCs w:val="28"/>
        </w:rPr>
      </w:pPr>
    </w:p>
    <w:p w14:paraId="0427F5DD">
      <w:pPr>
        <w:widowControl/>
        <w:spacing w:before="100" w:beforeAutospacing="1" w:after="100" w:afterAutospacing="1" w:line="360" w:lineRule="auto"/>
        <w:ind w:right="641" w:firstLine="560" w:firstLineChars="200"/>
        <w:jc w:val="center"/>
        <w:rPr>
          <w:rFonts w:ascii="宋体" w:hAnsi="宋体" w:eastAsia="宋体" w:cs="宋体"/>
          <w:b/>
          <w:kern w:val="0"/>
          <w:sz w:val="28"/>
          <w:szCs w:val="28"/>
        </w:rPr>
      </w:pPr>
      <w:r>
        <w:rPr>
          <w:rFonts w:hint="eastAsia" w:ascii="宋体" w:hAnsi="宋体" w:eastAsia="宋体" w:cs="宋体"/>
          <w:b/>
          <w:kern w:val="0"/>
          <w:sz w:val="28"/>
          <w:szCs w:val="28"/>
        </w:rPr>
        <w:t>中共长沙市委政策研究室（市委改革办）</w:t>
      </w:r>
    </w:p>
    <w:p w14:paraId="746D46E2">
      <w:pPr>
        <w:widowControl/>
        <w:spacing w:before="100" w:beforeAutospacing="1" w:after="100" w:afterAutospacing="1" w:line="360" w:lineRule="auto"/>
        <w:ind w:right="641" w:firstLine="560" w:firstLineChars="200"/>
        <w:jc w:val="center"/>
        <w:rPr>
          <w:rFonts w:ascii="宋体" w:hAnsi="宋体" w:eastAsia="宋体" w:cs="宋体"/>
          <w:b/>
          <w:kern w:val="0"/>
          <w:sz w:val="28"/>
          <w:szCs w:val="28"/>
        </w:rPr>
      </w:pPr>
      <w:r>
        <w:rPr>
          <w:rFonts w:hint="eastAsia" w:ascii="宋体" w:hAnsi="宋体" w:eastAsia="宋体" w:cs="宋体"/>
          <w:b/>
          <w:kern w:val="0"/>
          <w:sz w:val="28"/>
          <w:szCs w:val="28"/>
        </w:rPr>
        <w:t>2018年度部门整体支出绩效自评报告</w:t>
      </w:r>
    </w:p>
    <w:p w14:paraId="075A7DBD">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为加强财政预算资金管理，进一步规范预算资金使用，切实提高财政资金使用效益，根据财政部《财政支出绩效评价管理暂行办法》和《长沙市财政局关于开展2019年度市级财政资金绩效自评工作通知》（长财绩[2019]2号）文件精神，我室积极组织对2018年度本单位整体支出进行了绩效评价。现将具体绩效评价情况报告如下：</w:t>
      </w:r>
    </w:p>
    <w:p w14:paraId="6F065416">
      <w:pPr>
        <w:pStyle w:val="2"/>
        <w:spacing w:before="0" w:after="0" w:line="360" w:lineRule="auto"/>
        <w:ind w:firstLine="560" w:firstLineChars="200"/>
        <w:contextualSpacing/>
        <w:rPr>
          <w:rFonts w:ascii="宋体" w:hAnsi="宋体" w:eastAsia="宋体"/>
          <w:kern w:val="0"/>
          <w:sz w:val="28"/>
          <w:szCs w:val="28"/>
        </w:rPr>
      </w:pPr>
      <w:bookmarkStart w:id="0" w:name="_Toc3228203"/>
      <w:r>
        <w:rPr>
          <w:rFonts w:hint="eastAsia" w:ascii="宋体" w:hAnsi="宋体" w:eastAsia="宋体"/>
          <w:kern w:val="0"/>
          <w:sz w:val="28"/>
          <w:szCs w:val="28"/>
        </w:rPr>
        <w:t>一、部门概况</w:t>
      </w:r>
      <w:bookmarkEnd w:id="0"/>
    </w:p>
    <w:p w14:paraId="40720E14">
      <w:pPr>
        <w:pStyle w:val="3"/>
        <w:spacing w:before="0" w:after="0" w:line="360" w:lineRule="auto"/>
        <w:ind w:firstLine="560" w:firstLineChars="200"/>
        <w:contextualSpacing/>
        <w:rPr>
          <w:rFonts w:ascii="宋体" w:hAnsi="宋体" w:eastAsia="宋体"/>
          <w:b w:val="0"/>
          <w:kern w:val="0"/>
          <w:sz w:val="28"/>
          <w:szCs w:val="28"/>
        </w:rPr>
      </w:pPr>
      <w:bookmarkStart w:id="1" w:name="_Toc3228204"/>
      <w:r>
        <w:rPr>
          <w:rFonts w:hint="eastAsia" w:ascii="宋体" w:hAnsi="宋体" w:eastAsia="宋体"/>
          <w:b w:val="0"/>
          <w:kern w:val="0"/>
          <w:sz w:val="28"/>
          <w:szCs w:val="28"/>
        </w:rPr>
        <w:t>（一）部门基本情况</w:t>
      </w:r>
      <w:bookmarkEnd w:id="1"/>
    </w:p>
    <w:p w14:paraId="7B8EE22D">
      <w:pPr>
        <w:pStyle w:val="4"/>
        <w:spacing w:before="0" w:after="0" w:line="360" w:lineRule="auto"/>
        <w:ind w:firstLine="560" w:firstLineChars="200"/>
        <w:contextualSpacing/>
      </w:pPr>
      <w:bookmarkStart w:id="2" w:name="_Toc3228205"/>
      <w:r>
        <w:rPr>
          <w:rFonts w:hint="eastAsia" w:ascii="宋体" w:hAnsi="宋体" w:eastAsia="宋体"/>
          <w:b w:val="0"/>
          <w:kern w:val="0"/>
          <w:sz w:val="28"/>
          <w:szCs w:val="28"/>
        </w:rPr>
        <w:t>（1）在职人员情况及机构设置情况</w:t>
      </w:r>
      <w:bookmarkEnd w:id="2"/>
    </w:p>
    <w:p w14:paraId="6F6D4EAE">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中共长沙市委政策研究室（市委改革办</w:t>
      </w:r>
      <w:r>
        <w:rPr>
          <w:rFonts w:ascii="宋体" w:hAnsi="宋体" w:eastAsia="宋体" w:cs="仿宋"/>
          <w:sz w:val="28"/>
          <w:szCs w:val="28"/>
        </w:rPr>
        <w:t>）</w:t>
      </w:r>
      <w:r>
        <w:rPr>
          <w:rFonts w:hint="eastAsia" w:ascii="宋体" w:hAnsi="宋体" w:eastAsia="宋体" w:cs="仿宋"/>
          <w:sz w:val="28"/>
          <w:szCs w:val="28"/>
        </w:rPr>
        <w:t>（以下简称“政研室”）设秘书处、综合研究处、经济研究处、社会研究处、党建研究处、党刊编辑处、协调推进处、改革督察处八个处室。</w:t>
      </w:r>
    </w:p>
    <w:p w14:paraId="0D35BC11">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截至2018年12底，研究室共有人员编制44人，实际在职在编43人，其中在职在编干部30人，工人1人；退休干部4人，聘用8人（中级雇员3人 初级5人）。</w:t>
      </w:r>
    </w:p>
    <w:p w14:paraId="684F5700">
      <w:pPr>
        <w:pStyle w:val="4"/>
        <w:spacing w:before="0" w:after="0" w:line="360" w:lineRule="auto"/>
        <w:ind w:firstLine="560" w:firstLineChars="200"/>
        <w:contextualSpacing/>
        <w:rPr>
          <w:rFonts w:ascii="宋体" w:hAnsi="宋体" w:eastAsia="宋体"/>
          <w:b w:val="0"/>
          <w:kern w:val="0"/>
          <w:sz w:val="28"/>
          <w:szCs w:val="28"/>
        </w:rPr>
      </w:pPr>
      <w:bookmarkStart w:id="3" w:name="_Toc3228206"/>
      <w:r>
        <w:rPr>
          <w:rFonts w:hint="eastAsia" w:ascii="宋体" w:hAnsi="宋体" w:eastAsia="宋体"/>
          <w:b w:val="0"/>
          <w:kern w:val="0"/>
          <w:sz w:val="28"/>
          <w:szCs w:val="28"/>
        </w:rPr>
        <w:t>（2）主要工作职责</w:t>
      </w:r>
      <w:bookmarkEnd w:id="3"/>
    </w:p>
    <w:p w14:paraId="266A93A8">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政研室是</w:t>
      </w:r>
      <w:r>
        <w:rPr>
          <w:rFonts w:ascii="宋体" w:hAnsi="宋体" w:eastAsia="宋体" w:cs="仿宋"/>
          <w:sz w:val="28"/>
          <w:szCs w:val="28"/>
        </w:rPr>
        <w:t>负责全市综合性政策研究、</w:t>
      </w:r>
      <w:r>
        <w:rPr>
          <w:rFonts w:hint="eastAsia" w:ascii="宋体" w:hAnsi="宋体" w:eastAsia="宋体" w:cs="仿宋"/>
          <w:sz w:val="28"/>
          <w:szCs w:val="28"/>
        </w:rPr>
        <w:t>全市深化改革的统筹协调推进、</w:t>
      </w:r>
      <w:r>
        <w:rPr>
          <w:rFonts w:ascii="宋体" w:hAnsi="宋体" w:eastAsia="宋体" w:cs="仿宋"/>
          <w:sz w:val="28"/>
          <w:szCs w:val="28"/>
        </w:rPr>
        <w:t>决策咨询、小康协调等工作的市委组成部门。</w:t>
      </w:r>
      <w:r>
        <w:rPr>
          <w:rFonts w:hint="eastAsia" w:ascii="宋体" w:hAnsi="宋体" w:eastAsia="宋体" w:cs="仿宋"/>
          <w:sz w:val="28"/>
          <w:szCs w:val="28"/>
        </w:rPr>
        <w:t>主工职责为负责起草市委主要领导同志的报告、讲话和其他文稿，负责起草市委重要文件和其它重要文稿；根据市委领导意图，对全市政治、经济、文化、社会、生态和党建等方面的重大问题进行调查研究，为市委决策提出意见和建议；负责收集和研究整理省内外、市内外重要信息资料，对政治、经济、文化、社会、生态和党建等方面的重大问题进行分析和预测，及时将有关资料和研究成果提供给市委领导参阅；负责创建长沙新型智库建设，建设智库体系、汇聚智力资源，更好为市委做好参谋服务；负责全市全面深化改革重大问题的政策研究，统筹、协调、督促、检查、推动改革工作的落实落地；负责全面建成小康社会推进工作的综合协调、联络指导、考评监测、奖评督查等具体任务。</w:t>
      </w:r>
    </w:p>
    <w:p w14:paraId="3C7D9B9A">
      <w:pPr>
        <w:spacing w:line="360" w:lineRule="auto"/>
        <w:ind w:firstLine="480" w:firstLineChars="200"/>
        <w:rPr>
          <w:rFonts w:ascii="宋体" w:hAnsi="宋体" w:eastAsia="宋体" w:cs="仿宋"/>
          <w:sz w:val="28"/>
          <w:szCs w:val="28"/>
        </w:rPr>
      </w:pPr>
      <w:r>
        <w:rPr>
          <w:rFonts w:ascii="微软雅黑" w:hAnsi="微软雅黑" w:eastAsia="微软雅黑" w:cs="微软雅黑"/>
          <w:color w:val="555555"/>
          <w:sz w:val="24"/>
          <w:szCs w:val="24"/>
          <w:shd w:val="clear" w:color="auto" w:fill="FFFFFF"/>
        </w:rPr>
        <w:t>　</w:t>
      </w:r>
      <w:r>
        <w:rPr>
          <w:rFonts w:hint="eastAsia" w:ascii="宋体" w:hAnsi="宋体" w:eastAsia="宋体"/>
          <w:bCs/>
          <w:kern w:val="0"/>
          <w:sz w:val="28"/>
          <w:szCs w:val="28"/>
        </w:rPr>
        <w:t>（3）重点工作计划</w:t>
      </w:r>
    </w:p>
    <w:p w14:paraId="0E6614ED">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2018年政研室工作重点：高质量完成综合文稿起草任务；牵头推进全面深化改革工作；牵头组织“大调研”活动；在省级以上刊物发表文章；做好有关政策文件起草工作；开展好专项调研。</w:t>
      </w:r>
    </w:p>
    <w:p w14:paraId="16CD708E">
      <w:pPr>
        <w:spacing w:line="360" w:lineRule="auto"/>
        <w:ind w:firstLine="840" w:firstLineChars="300"/>
        <w:rPr>
          <w:rFonts w:ascii="宋体" w:hAnsi="宋体" w:eastAsia="宋体" w:cs="仿宋"/>
          <w:sz w:val="28"/>
          <w:szCs w:val="28"/>
        </w:rPr>
      </w:pPr>
      <w:r>
        <w:rPr>
          <w:rFonts w:hint="eastAsia" w:ascii="宋体" w:hAnsi="宋体" w:eastAsia="宋体" w:cs="仿宋"/>
          <w:sz w:val="28"/>
          <w:szCs w:val="28"/>
        </w:rPr>
        <w:t>（二）2018年初省财政批复部门预算为965.82万元，上年经费结余为21.20万元，年中追加经费111.86万元，全年指标合计为1098.88万元。2018年实际拨款数为1077.68万元，指标结余21.20万元。</w:t>
      </w:r>
    </w:p>
    <w:p w14:paraId="0B53D7F8">
      <w:pPr>
        <w:pStyle w:val="2"/>
        <w:spacing w:before="0" w:after="0" w:line="360" w:lineRule="auto"/>
        <w:ind w:firstLine="560" w:firstLineChars="200"/>
        <w:rPr>
          <w:rFonts w:ascii="宋体" w:hAnsi="宋体" w:eastAsia="宋体"/>
          <w:kern w:val="0"/>
          <w:sz w:val="28"/>
          <w:szCs w:val="28"/>
        </w:rPr>
      </w:pPr>
      <w:bookmarkStart w:id="4" w:name="_Toc3228207"/>
      <w:r>
        <w:rPr>
          <w:rFonts w:hint="eastAsia" w:ascii="宋体" w:hAnsi="宋体" w:eastAsia="宋体"/>
          <w:kern w:val="0"/>
          <w:sz w:val="28"/>
          <w:szCs w:val="28"/>
        </w:rPr>
        <w:t>二、部门整体支出管理及使用情况</w:t>
      </w:r>
      <w:bookmarkEnd w:id="4"/>
    </w:p>
    <w:p w14:paraId="3F65A2AC">
      <w:pPr>
        <w:pStyle w:val="3"/>
        <w:spacing w:before="0" w:after="0" w:line="360" w:lineRule="auto"/>
        <w:ind w:firstLine="560" w:firstLineChars="200"/>
        <w:rPr>
          <w:rFonts w:ascii="宋体" w:hAnsi="宋体" w:eastAsia="宋体"/>
          <w:b w:val="0"/>
          <w:kern w:val="0"/>
          <w:sz w:val="28"/>
          <w:szCs w:val="28"/>
        </w:rPr>
      </w:pPr>
      <w:bookmarkStart w:id="5" w:name="_Toc3228208"/>
      <w:r>
        <w:rPr>
          <w:rFonts w:hint="eastAsia" w:ascii="宋体" w:hAnsi="宋体" w:eastAsia="宋体"/>
          <w:b w:val="0"/>
          <w:kern w:val="0"/>
          <w:sz w:val="28"/>
          <w:szCs w:val="28"/>
        </w:rPr>
        <w:t>（一）基本支出</w:t>
      </w:r>
      <w:bookmarkEnd w:id="5"/>
    </w:p>
    <w:p w14:paraId="1443820E">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基本支出用于为保障机构正常运转、完成日常工作任务而发生的支出，包括人员经费和公用经费。</w:t>
      </w:r>
    </w:p>
    <w:p w14:paraId="2D2B0910">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2018年年初预算批复的基本支出为640.82万元，年中追加132.81万元（占年初预算批复数20.73%），上年结余指标2.26万元，全年指标合计775.89万元。其中工资福利性支出</w:t>
      </w:r>
      <w:r>
        <w:rPr>
          <w:rFonts w:ascii="宋体" w:hAnsi="宋体" w:eastAsia="宋体" w:cs="仿宋"/>
          <w:sz w:val="28"/>
          <w:szCs w:val="28"/>
        </w:rPr>
        <w:t xml:space="preserve"> </w:t>
      </w:r>
      <w:r>
        <w:rPr>
          <w:rFonts w:hint="eastAsia" w:ascii="宋体" w:hAnsi="宋体" w:eastAsia="宋体" w:cs="仿宋"/>
          <w:sz w:val="28"/>
          <w:szCs w:val="28"/>
        </w:rPr>
        <w:t>528.59万元、商品和服务支出99.30万元、对个人和家庭的补助</w:t>
      </w:r>
      <w:r>
        <w:rPr>
          <w:rFonts w:ascii="宋体" w:hAnsi="宋体" w:eastAsia="宋体" w:cs="仿宋"/>
          <w:sz w:val="28"/>
          <w:szCs w:val="28"/>
        </w:rPr>
        <w:t xml:space="preserve"> </w:t>
      </w:r>
      <w:r>
        <w:rPr>
          <w:rFonts w:hint="eastAsia" w:ascii="宋体" w:hAnsi="宋体" w:eastAsia="宋体" w:cs="仿宋"/>
          <w:sz w:val="28"/>
          <w:szCs w:val="28"/>
        </w:rPr>
        <w:t>12.93万元。全年实际拨款773.63万元，有2.26万元人员经费指标结余。</w:t>
      </w:r>
    </w:p>
    <w:p w14:paraId="6D53899C">
      <w:pPr>
        <w:widowControl/>
        <w:snapToGrid w:val="0"/>
        <w:spacing w:line="360" w:lineRule="auto"/>
        <w:ind w:firstLine="560" w:firstLineChars="200"/>
        <w:jc w:val="left"/>
        <w:rPr>
          <w:sz w:val="28"/>
          <w:szCs w:val="28"/>
        </w:rPr>
      </w:pPr>
      <w:r>
        <w:rPr>
          <w:rFonts w:hint="eastAsia" w:ascii="宋体" w:hAnsi="宋体" w:eastAsia="宋体" w:cs="仿宋"/>
          <w:sz w:val="28"/>
          <w:szCs w:val="28"/>
        </w:rPr>
        <w:t>2018年决算支出773.63万元，其中：工资福利性支出686.59万元，商品和服务支出58.04万元、对个人和家庭的补助29.00万元。决算基本支出总额超年初预算批复132.81万元，其中工资福利性支出超预算158.00万元，主要受发放文明单位奖、中餐补助未纳入预算</w:t>
      </w:r>
      <w:r>
        <w:rPr>
          <w:rFonts w:hint="eastAsia"/>
          <w:sz w:val="28"/>
          <w:szCs w:val="28"/>
        </w:rPr>
        <w:t>、</w:t>
      </w:r>
      <w:r>
        <w:rPr>
          <w:rFonts w:hint="eastAsia" w:ascii="宋体" w:hAnsi="宋体" w:eastAsia="宋体" w:cs="仿宋"/>
          <w:sz w:val="28"/>
          <w:szCs w:val="28"/>
        </w:rPr>
        <w:t>在职退休物业费退休职业年金（视同）单位缴费部分及社保调基</w:t>
      </w:r>
      <w:r>
        <w:rPr>
          <w:rFonts w:hint="eastAsia"/>
          <w:sz w:val="28"/>
          <w:szCs w:val="28"/>
        </w:rPr>
        <w:t>等原因</w:t>
      </w:r>
      <w:r>
        <w:rPr>
          <w:rFonts w:hint="eastAsia" w:ascii="宋体" w:hAnsi="宋体" w:eastAsia="宋体" w:cs="仿宋"/>
          <w:sz w:val="28"/>
          <w:szCs w:val="28"/>
        </w:rPr>
        <w:t>的</w:t>
      </w:r>
      <w:r>
        <w:rPr>
          <w:rFonts w:hint="eastAsia"/>
          <w:sz w:val="28"/>
          <w:szCs w:val="28"/>
        </w:rPr>
        <w:t>影响</w:t>
      </w:r>
      <w:r>
        <w:rPr>
          <w:rFonts w:hint="eastAsia" w:ascii="宋体" w:hAnsi="宋体" w:eastAsia="宋体" w:cs="仿宋"/>
          <w:sz w:val="28"/>
          <w:szCs w:val="28"/>
        </w:rPr>
        <w:t>；对个人和家庭的补助超预算16.07万元</w:t>
      </w:r>
      <w:r>
        <w:rPr>
          <w:rFonts w:hint="eastAsia"/>
          <w:sz w:val="28"/>
          <w:szCs w:val="28"/>
        </w:rPr>
        <w:t>。</w:t>
      </w:r>
    </w:p>
    <w:p w14:paraId="28F36563">
      <w:pPr>
        <w:spacing w:line="360" w:lineRule="auto"/>
        <w:ind w:firstLine="560" w:firstLineChars="200"/>
        <w:rPr>
          <w:rFonts w:ascii="宋体" w:hAnsi="宋体" w:eastAsia="宋体"/>
          <w:sz w:val="28"/>
          <w:szCs w:val="28"/>
        </w:rPr>
      </w:pPr>
      <w:r>
        <w:rPr>
          <w:rFonts w:ascii="宋体" w:hAnsi="宋体" w:eastAsia="宋体" w:cs="仿宋"/>
          <w:sz w:val="28"/>
          <w:szCs w:val="28"/>
        </w:rPr>
        <w:t>　</w:t>
      </w:r>
      <w:r>
        <w:rPr>
          <w:rFonts w:hint="eastAsia" w:ascii="宋体" w:hAnsi="宋体" w:eastAsia="宋体" w:cs="仿宋"/>
          <w:sz w:val="28"/>
          <w:szCs w:val="28"/>
        </w:rPr>
        <w:t>2018年“三公”经费金额为42万元，其中：公务接待费27.00万元、因公出国（境）费0万元和公务用车购置及运行费15万元（公务用车购置0万元和公务用车运行费15万元）。政研室贯彻中央八项规定和厉行节约的要求，2018年“三公”经费比预算减少34.31万元，其中：</w:t>
      </w:r>
      <w:r>
        <w:rPr>
          <w:rFonts w:ascii="宋体" w:hAnsi="宋体" w:eastAsia="宋体" w:cs="仿宋"/>
          <w:sz w:val="28"/>
          <w:szCs w:val="28"/>
        </w:rPr>
        <w:t>公务接待费用</w:t>
      </w:r>
      <w:r>
        <w:rPr>
          <w:rFonts w:hint="eastAsia" w:ascii="宋体" w:hAnsi="宋体" w:eastAsia="宋体" w:cs="仿宋"/>
          <w:sz w:val="28"/>
          <w:szCs w:val="28"/>
        </w:rPr>
        <w:t>2.45万元，</w:t>
      </w:r>
      <w:r>
        <w:rPr>
          <w:rFonts w:ascii="宋体" w:hAnsi="宋体" w:eastAsia="宋体" w:cs="仿宋"/>
          <w:sz w:val="28"/>
          <w:szCs w:val="28"/>
        </w:rPr>
        <w:t>小于年初预算数，</w:t>
      </w:r>
      <w:r>
        <w:rPr>
          <w:rFonts w:hint="eastAsia" w:ascii="宋体" w:hAnsi="宋体" w:eastAsia="宋体" w:cs="仿宋"/>
          <w:sz w:val="28"/>
          <w:szCs w:val="28"/>
        </w:rPr>
        <w:t>小</w:t>
      </w:r>
      <w:r>
        <w:rPr>
          <w:rFonts w:ascii="宋体" w:hAnsi="宋体" w:eastAsia="宋体" w:cs="仿宋"/>
          <w:sz w:val="28"/>
          <w:szCs w:val="28"/>
        </w:rPr>
        <w:t>于上年决算数，</w:t>
      </w:r>
      <w:r>
        <w:rPr>
          <w:rFonts w:hint="eastAsia" w:ascii="宋体" w:hAnsi="宋体" w:eastAsia="宋体" w:cs="仿宋"/>
          <w:sz w:val="28"/>
          <w:szCs w:val="28"/>
        </w:rPr>
        <w:t>因本年度来长调研考察学习的接待人数较去年有所减少，故接待费用有所减少。2018年</w:t>
      </w:r>
      <w:r>
        <w:rPr>
          <w:rFonts w:ascii="宋体" w:hAnsi="宋体" w:eastAsia="宋体" w:cs="仿宋"/>
          <w:sz w:val="28"/>
          <w:szCs w:val="28"/>
        </w:rPr>
        <w:t>接待批次为</w:t>
      </w:r>
      <w:r>
        <w:rPr>
          <w:rFonts w:hint="eastAsia" w:ascii="宋体" w:hAnsi="宋体" w:eastAsia="宋体" w:cs="仿宋"/>
          <w:sz w:val="28"/>
          <w:szCs w:val="28"/>
        </w:rPr>
        <w:t>30</w:t>
      </w:r>
      <w:r>
        <w:rPr>
          <w:rFonts w:ascii="宋体" w:hAnsi="宋体" w:eastAsia="宋体"/>
          <w:sz w:val="28"/>
          <w:szCs w:val="28"/>
        </w:rPr>
        <w:t>批，</w:t>
      </w:r>
      <w:r>
        <w:rPr>
          <w:rFonts w:hint="eastAsia" w:ascii="宋体" w:hAnsi="宋体" w:eastAsia="宋体"/>
          <w:sz w:val="28"/>
          <w:szCs w:val="28"/>
        </w:rPr>
        <w:t>接待</w:t>
      </w:r>
      <w:r>
        <w:rPr>
          <w:rFonts w:ascii="宋体" w:hAnsi="宋体" w:eastAsia="宋体"/>
          <w:sz w:val="28"/>
          <w:szCs w:val="28"/>
        </w:rPr>
        <w:t>人数为</w:t>
      </w:r>
      <w:r>
        <w:rPr>
          <w:rFonts w:hint="eastAsia" w:ascii="宋体" w:hAnsi="宋体" w:eastAsia="宋体"/>
          <w:sz w:val="28"/>
          <w:szCs w:val="28"/>
        </w:rPr>
        <w:t>242</w:t>
      </w:r>
      <w:r>
        <w:rPr>
          <w:rFonts w:ascii="宋体" w:hAnsi="宋体" w:eastAsia="宋体"/>
          <w:sz w:val="28"/>
          <w:szCs w:val="28"/>
        </w:rPr>
        <w:t>人</w:t>
      </w:r>
      <w:r>
        <w:rPr>
          <w:rFonts w:hint="eastAsia" w:ascii="宋体" w:hAnsi="宋体" w:eastAsia="宋体"/>
          <w:sz w:val="28"/>
          <w:szCs w:val="28"/>
        </w:rPr>
        <w:t>，比17年减少接待55批次，减少接待人员625人；</w:t>
      </w:r>
      <w:r>
        <w:rPr>
          <w:rFonts w:ascii="宋体" w:hAnsi="宋体" w:eastAsia="宋体" w:cs="仿宋"/>
          <w:sz w:val="28"/>
          <w:szCs w:val="28"/>
        </w:rPr>
        <w:t>公务用车购置及运行维护费</w:t>
      </w:r>
      <w:r>
        <w:rPr>
          <w:rFonts w:hint="eastAsia" w:ascii="宋体" w:hAnsi="宋体" w:eastAsia="宋体" w:cs="仿宋"/>
          <w:sz w:val="28"/>
          <w:szCs w:val="28"/>
        </w:rPr>
        <w:t>5.24万元，小于年初预算数，小于上年决算数，</w:t>
      </w:r>
      <w:r>
        <w:rPr>
          <w:rFonts w:ascii="宋体" w:hAnsi="宋体" w:eastAsia="宋体" w:cs="仿宋"/>
          <w:sz w:val="28"/>
          <w:szCs w:val="28"/>
        </w:rPr>
        <w:t>主要因为单位对车辆油料费用的支出、维修费用的支出等方面进行了严格的规范，降低了部分消耗。</w:t>
      </w:r>
    </w:p>
    <w:p w14:paraId="6F972FE8">
      <w:pPr>
        <w:pStyle w:val="3"/>
        <w:spacing w:before="0" w:after="0" w:line="360" w:lineRule="auto"/>
        <w:ind w:firstLine="560" w:firstLineChars="200"/>
        <w:rPr>
          <w:rFonts w:ascii="宋体" w:hAnsi="宋体" w:eastAsia="宋体"/>
          <w:b w:val="0"/>
          <w:kern w:val="0"/>
          <w:sz w:val="28"/>
          <w:szCs w:val="28"/>
        </w:rPr>
      </w:pPr>
      <w:bookmarkStart w:id="6" w:name="_Toc3228209"/>
      <w:r>
        <w:rPr>
          <w:rFonts w:hint="eastAsia" w:ascii="宋体" w:hAnsi="宋体" w:eastAsia="宋体"/>
          <w:b w:val="0"/>
          <w:kern w:val="0"/>
          <w:sz w:val="28"/>
          <w:szCs w:val="28"/>
        </w:rPr>
        <w:t>（二）项目支出</w:t>
      </w:r>
      <w:bookmarkEnd w:id="6"/>
    </w:p>
    <w:p w14:paraId="3236C466">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项目支出是</w:t>
      </w:r>
      <w:r>
        <w:rPr>
          <w:rFonts w:ascii="宋体" w:hAnsi="宋体" w:eastAsia="宋体" w:cs="仿宋"/>
          <w:sz w:val="28"/>
          <w:szCs w:val="28"/>
        </w:rPr>
        <w:t>指在基本支出之外为完成特定行政任务和事业发展目标所发生的支出</w:t>
      </w:r>
      <w:r>
        <w:rPr>
          <w:rFonts w:hint="eastAsia" w:ascii="宋体" w:hAnsi="宋体" w:eastAsia="宋体" w:cs="仿宋"/>
          <w:sz w:val="28"/>
          <w:szCs w:val="28"/>
        </w:rPr>
        <w:t>。</w:t>
      </w:r>
    </w:p>
    <w:p w14:paraId="33C9EE0C">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2018年年初预算批复的项目支出为325.00万元，年中减少20.95万元（占年初预算批复的6.45%），上年指标结余18.94万元，全年指标合计322.99万元。实际拨款304.05万元，另有18.94万元指标结余。</w:t>
      </w:r>
    </w:p>
    <w:p w14:paraId="1591D2E6">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2018年决算的项目支出为304.05万元，其中：工资福利性支出20.99万元、商品和服务支出281.39万元、其他资本性支出1.67万元。决算的项目支出比年初预算批复节约20.95万元，主要是商品和服务支出节约41.26万元。</w:t>
      </w:r>
    </w:p>
    <w:p w14:paraId="3485AD68">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制订了《中共长沙市委政策研究室制度汇编》，明确了经费审批权限及程序，经费预算管理、财务监督等。</w:t>
      </w:r>
    </w:p>
    <w:p w14:paraId="7F88DDFE">
      <w:pPr>
        <w:pStyle w:val="2"/>
        <w:spacing w:before="0" w:after="0" w:line="360" w:lineRule="auto"/>
        <w:ind w:firstLine="560" w:firstLineChars="200"/>
        <w:rPr>
          <w:rFonts w:ascii="宋体" w:hAnsi="宋体" w:eastAsia="宋体" w:cs="仿宋"/>
          <w:kern w:val="2"/>
          <w:sz w:val="28"/>
          <w:szCs w:val="28"/>
        </w:rPr>
      </w:pPr>
      <w:bookmarkStart w:id="7" w:name="_Toc3228210"/>
      <w:r>
        <w:rPr>
          <w:rFonts w:hint="eastAsia" w:ascii="宋体" w:hAnsi="宋体" w:eastAsia="宋体" w:cs="仿宋"/>
          <w:kern w:val="2"/>
          <w:sz w:val="28"/>
          <w:szCs w:val="28"/>
        </w:rPr>
        <w:t>三、资产管理情况</w:t>
      </w:r>
      <w:bookmarkEnd w:id="7"/>
    </w:p>
    <w:p w14:paraId="581ADB04">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2018年</w:t>
      </w:r>
      <w:r>
        <w:rPr>
          <w:rFonts w:ascii="宋体" w:hAnsi="宋体" w:eastAsia="宋体" w:cs="仿宋"/>
          <w:sz w:val="28"/>
          <w:szCs w:val="28"/>
        </w:rPr>
        <w:t>公务用车购置数为0辆，公务用车保有量为3辆</w:t>
      </w:r>
      <w:r>
        <w:rPr>
          <w:rFonts w:hint="eastAsia" w:ascii="宋体" w:hAnsi="宋体" w:eastAsia="宋体" w:cs="仿宋"/>
          <w:sz w:val="28"/>
          <w:szCs w:val="28"/>
        </w:rPr>
        <w:t>，2018年决算公务用车账面价格49.61万元，本年未增减变动</w:t>
      </w:r>
      <w:r>
        <w:rPr>
          <w:rFonts w:ascii="宋体" w:hAnsi="宋体" w:eastAsia="宋体" w:cs="仿宋"/>
          <w:sz w:val="28"/>
          <w:szCs w:val="28"/>
        </w:rPr>
        <w:t>；</w:t>
      </w:r>
      <w:r>
        <w:rPr>
          <w:rFonts w:hint="eastAsia" w:ascii="宋体" w:hAnsi="宋体" w:eastAsia="宋体" w:cs="仿宋"/>
          <w:sz w:val="28"/>
          <w:szCs w:val="28"/>
        </w:rPr>
        <w:t>办公设备等其他固定资产年初116.06万元，本年减少6.9万元，已按《市委政研室固定资产增减变动流程》进行处理，其他固定资产年末109.16万元。</w:t>
      </w:r>
    </w:p>
    <w:p w14:paraId="235D2C28">
      <w:pPr>
        <w:spacing w:line="360" w:lineRule="auto"/>
        <w:ind w:firstLine="560" w:firstLineChars="200"/>
        <w:rPr>
          <w:rFonts w:ascii="宋体" w:hAnsi="宋体" w:eastAsia="宋体" w:cs="仿宋"/>
          <w:sz w:val="28"/>
          <w:szCs w:val="28"/>
        </w:rPr>
      </w:pPr>
      <w:r>
        <w:rPr>
          <w:rFonts w:hint="eastAsia" w:ascii="宋体" w:hAnsi="宋体" w:eastAsia="宋体" w:cs="仿宋"/>
          <w:sz w:val="28"/>
          <w:szCs w:val="28"/>
        </w:rPr>
        <w:t>完善固定资产档案，年底对固定资产进行了一次全面清查，并在《中共长沙市委政策研究室制度汇编》基础上增补《内部控制评价手册》，加强对资产的管理与监督。</w:t>
      </w:r>
    </w:p>
    <w:p w14:paraId="376B7892">
      <w:pPr>
        <w:pStyle w:val="2"/>
        <w:spacing w:before="0" w:after="0" w:line="360" w:lineRule="auto"/>
        <w:ind w:firstLine="560" w:firstLineChars="200"/>
        <w:rPr>
          <w:rFonts w:ascii="宋体" w:hAnsi="宋体" w:eastAsia="宋体"/>
          <w:kern w:val="0"/>
          <w:sz w:val="28"/>
          <w:szCs w:val="28"/>
        </w:rPr>
      </w:pPr>
      <w:bookmarkStart w:id="8" w:name="_Toc3228211"/>
      <w:r>
        <w:rPr>
          <w:rFonts w:hint="eastAsia" w:ascii="宋体" w:hAnsi="宋体" w:eastAsia="宋体"/>
          <w:kern w:val="0"/>
          <w:sz w:val="28"/>
          <w:szCs w:val="28"/>
        </w:rPr>
        <w:t>四、部门整体支出绩效情况</w:t>
      </w:r>
      <w:bookmarkEnd w:id="8"/>
    </w:p>
    <w:p w14:paraId="2C5104AB">
      <w:pPr>
        <w:widowControl/>
        <w:snapToGrid w:val="0"/>
        <w:spacing w:line="360" w:lineRule="auto"/>
        <w:ind w:firstLine="560" w:firstLineChars="200"/>
        <w:jc w:val="left"/>
        <w:rPr>
          <w:rFonts w:ascii="宋体" w:hAnsi="宋体" w:eastAsia="宋体"/>
          <w:sz w:val="28"/>
          <w:szCs w:val="28"/>
        </w:rPr>
      </w:pPr>
      <w:r>
        <w:rPr>
          <w:rFonts w:hint="eastAsia" w:ascii="宋体" w:hAnsi="宋体" w:eastAsia="宋体"/>
          <w:sz w:val="28"/>
          <w:szCs w:val="28"/>
        </w:rPr>
        <w:t>在市委的领导下，各处室根据2018年《工作计划及重点》的要求，结合党的群众路线教育实践活动，认真履行职责，较好地完成了年初确定的各项工作任务，为全市深化改革作出了新的贡献，根据《部门整体支出绩效评价指标》评分，得分95.86分（详见附表）。主要绩效如下：</w:t>
      </w:r>
    </w:p>
    <w:p w14:paraId="463768AF">
      <w:pPr>
        <w:pStyle w:val="3"/>
        <w:spacing w:before="0" w:after="0" w:line="360" w:lineRule="auto"/>
        <w:ind w:firstLine="560" w:firstLineChars="200"/>
        <w:rPr>
          <w:rFonts w:ascii="宋体" w:hAnsi="宋体" w:eastAsia="宋体"/>
          <w:kern w:val="0"/>
          <w:sz w:val="28"/>
          <w:szCs w:val="28"/>
        </w:rPr>
      </w:pPr>
      <w:bookmarkStart w:id="9" w:name="_Toc3228212"/>
      <w:bookmarkStart w:id="10" w:name="_Toc390336712"/>
      <w:r>
        <w:rPr>
          <w:rFonts w:hint="eastAsia" w:ascii="宋体" w:hAnsi="宋体" w:eastAsia="宋体"/>
          <w:kern w:val="0"/>
          <w:sz w:val="28"/>
          <w:szCs w:val="28"/>
        </w:rPr>
        <w:t>（一）厉行节约见成效，“三公”经费有效压减</w:t>
      </w:r>
      <w:bookmarkEnd w:id="9"/>
      <w:bookmarkEnd w:id="10"/>
    </w:p>
    <w:p w14:paraId="59D6148F">
      <w:pPr>
        <w:widowControl/>
        <w:snapToGrid w:val="0"/>
        <w:spacing w:line="360" w:lineRule="auto"/>
        <w:ind w:firstLine="560" w:firstLineChars="200"/>
        <w:jc w:val="left"/>
        <w:rPr>
          <w:sz w:val="28"/>
          <w:szCs w:val="28"/>
        </w:rPr>
      </w:pPr>
      <w:r>
        <w:rPr>
          <w:rFonts w:hint="eastAsia"/>
          <w:sz w:val="28"/>
          <w:szCs w:val="28"/>
        </w:rPr>
        <w:t>为更好地贯彻落实中央厉行节约的有关规定，财务管理不断加强，年度内“三公”经费决算支出相较2017年减少了28</w:t>
      </w:r>
      <w:r>
        <w:rPr>
          <w:sz w:val="28"/>
          <w:szCs w:val="28"/>
        </w:rPr>
        <w:t>.</w:t>
      </w:r>
      <w:r>
        <w:rPr>
          <w:rFonts w:hint="eastAsia"/>
          <w:sz w:val="28"/>
          <w:szCs w:val="28"/>
        </w:rPr>
        <w:t>87万元，降幅为78.96</w:t>
      </w:r>
      <w:r>
        <w:rPr>
          <w:sz w:val="28"/>
          <w:szCs w:val="28"/>
        </w:rPr>
        <w:t>%</w:t>
      </w:r>
      <w:r>
        <w:rPr>
          <w:rFonts w:hint="eastAsia"/>
          <w:sz w:val="28"/>
          <w:szCs w:val="28"/>
        </w:rPr>
        <w:t>； “三公”经费实现了有效压减，其中公务用车购置及运行维护费减少9.76万元，公务接待费实际支出较2017年节约19.11万元。因公务用车购置及运行维护费与公务接待费的实际支出较2017年分别降低了65.07</w:t>
      </w:r>
      <w:r>
        <w:rPr>
          <w:sz w:val="28"/>
          <w:szCs w:val="28"/>
        </w:rPr>
        <w:t>%</w:t>
      </w:r>
      <w:r>
        <w:rPr>
          <w:rFonts w:hint="eastAsia"/>
          <w:sz w:val="28"/>
          <w:szCs w:val="28"/>
        </w:rPr>
        <w:t>、88.63</w:t>
      </w:r>
      <w:r>
        <w:rPr>
          <w:sz w:val="28"/>
          <w:szCs w:val="28"/>
        </w:rPr>
        <w:t>%</w:t>
      </w:r>
      <w:r>
        <w:rPr>
          <w:rFonts w:hint="eastAsia"/>
          <w:sz w:val="28"/>
          <w:szCs w:val="28"/>
        </w:rPr>
        <w:t>。</w:t>
      </w:r>
    </w:p>
    <w:p w14:paraId="5CC5C458">
      <w:pPr>
        <w:pStyle w:val="3"/>
        <w:spacing w:before="0" w:after="0" w:line="360" w:lineRule="auto"/>
        <w:ind w:firstLine="560" w:firstLineChars="200"/>
        <w:rPr>
          <w:rFonts w:ascii="宋体" w:hAnsi="宋体" w:eastAsia="宋体"/>
          <w:kern w:val="0"/>
          <w:sz w:val="28"/>
          <w:szCs w:val="28"/>
        </w:rPr>
      </w:pPr>
      <w:bookmarkStart w:id="11" w:name="_Toc3228213"/>
      <w:r>
        <w:rPr>
          <w:rFonts w:hint="eastAsia" w:ascii="宋体" w:hAnsi="宋体" w:eastAsia="宋体"/>
          <w:kern w:val="0"/>
          <w:sz w:val="28"/>
          <w:szCs w:val="28"/>
        </w:rPr>
        <w:t>（二）</w:t>
      </w:r>
      <w:r>
        <w:rPr>
          <w:rFonts w:ascii="宋体" w:hAnsi="宋体" w:eastAsia="宋体"/>
          <w:kern w:val="0"/>
          <w:sz w:val="28"/>
          <w:szCs w:val="28"/>
        </w:rPr>
        <w:t>高质量完成综合文稿起草任务</w:t>
      </w:r>
      <w:r>
        <w:rPr>
          <w:rFonts w:hint="eastAsia" w:ascii="宋体" w:hAnsi="宋体" w:eastAsia="宋体"/>
          <w:kern w:val="0"/>
          <w:sz w:val="28"/>
          <w:szCs w:val="28"/>
        </w:rPr>
        <w:t>，反响良好</w:t>
      </w:r>
      <w:bookmarkEnd w:id="11"/>
    </w:p>
    <w:p w14:paraId="29A5A4D2">
      <w:pPr>
        <w:spacing w:line="360" w:lineRule="auto"/>
        <w:ind w:firstLine="560" w:firstLineChars="200"/>
        <w:rPr>
          <w:rFonts w:ascii="宋体" w:hAnsi="宋体" w:eastAsia="宋体"/>
          <w:sz w:val="28"/>
          <w:szCs w:val="28"/>
        </w:rPr>
      </w:pPr>
      <w:r>
        <w:rPr>
          <w:rFonts w:hint="eastAsia" w:ascii="宋体" w:hAnsi="宋体" w:eastAsia="宋体"/>
          <w:sz w:val="28"/>
          <w:szCs w:val="28"/>
        </w:rPr>
        <w:t>紧扣市委重大决策部署，高质量完成市委各类文稿近300篇。其中会议讲话120余篇，调研讲话38篇，市委常委会讲话24篇，活动讲话18篇，会见讲话29篇，汇报材料30余篇，署名文章17篇，调研报告8篇，政策文件6篇。如推动高质量发展、组织工作、宣传思想文化工作、意识形态工作、项目建设等大会讲话，政治站位高，观点内容新，结合实际紧，得到市委领导充分肯定，各方面反响良好。</w:t>
      </w:r>
    </w:p>
    <w:p w14:paraId="410C4257">
      <w:pPr>
        <w:pStyle w:val="3"/>
        <w:spacing w:before="0" w:after="0" w:line="360" w:lineRule="auto"/>
        <w:ind w:firstLine="560" w:firstLineChars="200"/>
        <w:rPr>
          <w:rFonts w:ascii="宋体" w:hAnsi="宋体" w:eastAsia="宋体"/>
          <w:kern w:val="0"/>
          <w:sz w:val="28"/>
          <w:szCs w:val="28"/>
        </w:rPr>
      </w:pPr>
      <w:bookmarkStart w:id="12" w:name="_Toc3228214"/>
      <w:r>
        <w:rPr>
          <w:rFonts w:hint="eastAsia" w:ascii="宋体" w:hAnsi="宋体" w:eastAsia="宋体"/>
          <w:kern w:val="0"/>
          <w:sz w:val="28"/>
          <w:szCs w:val="28"/>
        </w:rPr>
        <w:t>（三）</w:t>
      </w:r>
      <w:r>
        <w:rPr>
          <w:rFonts w:ascii="宋体" w:hAnsi="宋体" w:eastAsia="宋体"/>
          <w:kern w:val="0"/>
          <w:sz w:val="28"/>
          <w:szCs w:val="28"/>
        </w:rPr>
        <w:t>牵头推进全面深化改革工作</w:t>
      </w:r>
      <w:r>
        <w:rPr>
          <w:rFonts w:hint="eastAsia" w:ascii="宋体" w:hAnsi="宋体" w:eastAsia="宋体"/>
          <w:kern w:val="0"/>
          <w:sz w:val="28"/>
          <w:szCs w:val="28"/>
        </w:rPr>
        <w:t>，成效显著</w:t>
      </w:r>
      <w:bookmarkEnd w:id="12"/>
    </w:p>
    <w:p w14:paraId="36399ED5">
      <w:pPr>
        <w:spacing w:line="360" w:lineRule="auto"/>
        <w:ind w:firstLine="560" w:firstLineChars="200"/>
        <w:rPr>
          <w:rFonts w:ascii="宋体" w:hAnsi="宋体" w:eastAsia="宋体"/>
          <w:sz w:val="28"/>
          <w:szCs w:val="28"/>
        </w:rPr>
      </w:pPr>
      <w:r>
        <w:rPr>
          <w:rFonts w:hint="eastAsia" w:ascii="宋体" w:hAnsi="宋体" w:eastAsia="宋体"/>
          <w:sz w:val="28"/>
          <w:szCs w:val="28"/>
        </w:rPr>
        <w:t>今年改革任务共47项，已完成或基本完成。1.精心谋划全年改革。起草《中共长沙市委全面深化改革领导小组2018年工作要点》，明确全年12项重点攻坚改革事项和35项统筹实施改革事项。经4月28日市委深改组2018年第一次会议审议通过后以长办发〔2018〕16号文印发。2.全面铺排年度任务。5月11日召开2018年第一次改革办主任（扩大）会议暨改革工作部署会议，印发《关于切实抓好当前全面深化改革工作相关事项的通知》，对全年改革工作进行铺排；分线对接省委改革任务牵头单位，确定58项需长沙承接落实的具体改革任务；全面梳理市直部门和区县（市）试点示范改革事项和基层探索改革事项，印发《2018年试点示范改革事项清单》和《2018年基层探索改革事项清单》，明确44项试点示范任务和18项基层探索任务。3.压实改革责任链条。对全年改革改革任务进行责任分工、工期倒排，形成《&lt;中共长沙市委全面深化改革领导小组2018年工作要点&gt;任务分解表》，于5月31日以长改办发〔2018〕3号文印发，并将要点任务与试点示范、统筹实施改革事项一同录入改革动态管理平台。4.定期调度任务进展。通过平台对改革任务进展情况实时监测、定期调度，每月25日在动态管理平台审核47项改革要点、44项试点示范和18项基层探索改革事项进展情况，并梳理印发改革通报5期。5.全力推进机构改革。承担全市机构改革综合协调组职能，定期向省委深化机构改革领导小组办公室汇报对接工作，及时印发“一周工作动态”，《以高站位快动作实举措深化机构改革》被全省机构改革工作简报刊载。6.抓好改革宣传推介。对全市形成的改革经验、改革案例、改革人物进一步收集整理，初步形成长沙改革案例库，共筛选案例271个；省委改革简报推介长沙改革工作13篇次，《提高省会全面深化改革的首位度》《以党建引领城市基层治理》被省委改革调研刊载，《长沙市以改革创新“组合拳”引领经济发展新常态》被省委改革专报刊载，其中《以党建引领城市基层治理》获衡华书记肯定性批示“这是一篇很好的调研报告，全景展现了全市城市基层党建年的成效。值得一读”；及时梳理总结全市改革亮点，印发改革交流20期。</w:t>
      </w:r>
    </w:p>
    <w:p w14:paraId="1A5CF565">
      <w:pPr>
        <w:pStyle w:val="3"/>
        <w:spacing w:before="0" w:after="0" w:line="360" w:lineRule="auto"/>
        <w:ind w:firstLine="560" w:firstLineChars="200"/>
        <w:rPr>
          <w:rFonts w:ascii="宋体" w:hAnsi="宋体" w:eastAsia="宋体"/>
          <w:kern w:val="0"/>
          <w:sz w:val="28"/>
          <w:szCs w:val="28"/>
        </w:rPr>
      </w:pPr>
      <w:bookmarkStart w:id="13" w:name="_Toc3228215"/>
      <w:r>
        <w:rPr>
          <w:rFonts w:hint="eastAsia" w:ascii="宋体" w:hAnsi="宋体" w:eastAsia="宋体"/>
          <w:kern w:val="0"/>
          <w:sz w:val="28"/>
          <w:szCs w:val="28"/>
        </w:rPr>
        <w:t>（四）</w:t>
      </w:r>
      <w:r>
        <w:rPr>
          <w:rFonts w:ascii="宋体" w:hAnsi="宋体" w:eastAsia="宋体"/>
          <w:kern w:val="0"/>
          <w:sz w:val="28"/>
          <w:szCs w:val="28"/>
        </w:rPr>
        <w:t>牵头组织“大调研”活动</w:t>
      </w:r>
      <w:r>
        <w:rPr>
          <w:rFonts w:hint="eastAsia" w:ascii="宋体" w:hAnsi="宋体" w:eastAsia="宋体"/>
          <w:kern w:val="0"/>
          <w:sz w:val="28"/>
          <w:szCs w:val="28"/>
        </w:rPr>
        <w:t>，有效助推我市高质量发展</w:t>
      </w:r>
      <w:bookmarkEnd w:id="13"/>
    </w:p>
    <w:p w14:paraId="60AFD991">
      <w:pPr>
        <w:spacing w:line="360" w:lineRule="auto"/>
        <w:ind w:firstLine="560" w:firstLineChars="200"/>
        <w:rPr>
          <w:rFonts w:ascii="宋体" w:hAnsi="宋体" w:eastAsia="宋体"/>
          <w:sz w:val="28"/>
          <w:szCs w:val="28"/>
        </w:rPr>
      </w:pPr>
      <w:r>
        <w:rPr>
          <w:rFonts w:hint="eastAsia" w:ascii="宋体" w:hAnsi="宋体" w:eastAsia="宋体"/>
          <w:sz w:val="28"/>
          <w:szCs w:val="28"/>
        </w:rPr>
        <w:t>紧紧围绕市委中心工作，精心调度全市“抓重点、补短板、强弱项”大调研活动，在产业链技术运用、城市有机更新、乡村振兴、民生改善以及“三大攻坚战”等领域进行深入调研，有效助推我市高质量发展。活动开展以来，共确定市级层面调研课题190个，建立台账220本，问题清单500套；收集各类问题7665个，解决落实5968个；并对未解决问题逐个进行了交办。我市大调研活动的做法和经验，在省委《送阅件》上专刊印发、全面推介。</w:t>
      </w:r>
    </w:p>
    <w:p w14:paraId="212CD696">
      <w:pPr>
        <w:pStyle w:val="3"/>
        <w:spacing w:before="0" w:after="0" w:line="360" w:lineRule="auto"/>
        <w:ind w:firstLine="560" w:firstLineChars="200"/>
        <w:rPr>
          <w:rFonts w:ascii="宋体" w:hAnsi="宋体" w:eastAsia="宋体"/>
          <w:kern w:val="0"/>
          <w:sz w:val="28"/>
          <w:szCs w:val="28"/>
        </w:rPr>
      </w:pPr>
      <w:bookmarkStart w:id="14" w:name="_Toc3228216"/>
      <w:r>
        <w:rPr>
          <w:rFonts w:hint="eastAsia" w:ascii="宋体" w:hAnsi="宋体" w:eastAsia="宋体"/>
          <w:kern w:val="0"/>
          <w:sz w:val="28"/>
          <w:szCs w:val="28"/>
        </w:rPr>
        <w:t>（五）在</w:t>
      </w:r>
      <w:r>
        <w:rPr>
          <w:rFonts w:ascii="宋体" w:hAnsi="宋体" w:eastAsia="宋体"/>
          <w:kern w:val="0"/>
          <w:sz w:val="28"/>
          <w:szCs w:val="28"/>
        </w:rPr>
        <w:t>省级以上刊物发表</w:t>
      </w:r>
      <w:r>
        <w:rPr>
          <w:rFonts w:hint="eastAsia" w:ascii="宋体" w:hAnsi="宋体" w:eastAsia="宋体"/>
          <w:kern w:val="0"/>
          <w:sz w:val="28"/>
          <w:szCs w:val="28"/>
        </w:rPr>
        <w:t>多项</w:t>
      </w:r>
      <w:r>
        <w:rPr>
          <w:rFonts w:ascii="宋体" w:hAnsi="宋体" w:eastAsia="宋体"/>
          <w:kern w:val="0"/>
          <w:sz w:val="28"/>
          <w:szCs w:val="28"/>
        </w:rPr>
        <w:t>文章</w:t>
      </w:r>
      <w:r>
        <w:rPr>
          <w:rFonts w:hint="eastAsia" w:ascii="宋体" w:hAnsi="宋体" w:eastAsia="宋体"/>
          <w:kern w:val="0"/>
          <w:sz w:val="28"/>
          <w:szCs w:val="28"/>
        </w:rPr>
        <w:t>，扩大了长沙影响力，提高了城市的美誉度</w:t>
      </w:r>
      <w:bookmarkEnd w:id="14"/>
    </w:p>
    <w:p w14:paraId="25FE562A">
      <w:pPr>
        <w:spacing w:line="360" w:lineRule="auto"/>
        <w:ind w:firstLine="560" w:firstLineChars="200"/>
        <w:rPr>
          <w:rFonts w:ascii="宋体" w:hAnsi="宋体" w:eastAsia="宋体"/>
          <w:sz w:val="28"/>
          <w:szCs w:val="28"/>
        </w:rPr>
      </w:pPr>
      <w:r>
        <w:rPr>
          <w:rFonts w:hint="eastAsia" w:ascii="宋体" w:hAnsi="宋体" w:eastAsia="宋体"/>
          <w:sz w:val="28"/>
          <w:szCs w:val="28"/>
        </w:rPr>
        <w:t>在中央、省市等媒体刊发市委主要领导署名文章共15篇，其中中央媒体2篇，省级媒体9篇，市级媒体4篇。特别是《让城市发展处处见“人”》《当好管党治党“施工队长”》《推动全市干部作风来一个根本转变》《努力让长沙天更蓝人民更幸福——访省委常委、长沙市委书记胡衡华》《面向时代、面向基层、面向问题，服务群众——访省委常委、长沙市委书记胡衡华》《以智能制造引领长沙高质量发展》等访谈或理论文稿，全方位、多维度体现了长沙高质量发展、从严治党的经验做法，扩大了长沙影响力，提高了城市的美誉度。</w:t>
      </w:r>
    </w:p>
    <w:p w14:paraId="125A7E50">
      <w:pPr>
        <w:pStyle w:val="3"/>
        <w:spacing w:before="0" w:after="0" w:line="360" w:lineRule="auto"/>
        <w:ind w:firstLine="560" w:firstLineChars="200"/>
        <w:rPr>
          <w:rFonts w:ascii="宋体" w:hAnsi="宋体" w:eastAsia="宋体"/>
          <w:sz w:val="28"/>
          <w:szCs w:val="28"/>
        </w:rPr>
      </w:pPr>
      <w:bookmarkStart w:id="15" w:name="_Toc3228217"/>
      <w:r>
        <w:rPr>
          <w:rFonts w:hint="eastAsia" w:ascii="宋体" w:hAnsi="宋体" w:eastAsia="宋体"/>
          <w:sz w:val="28"/>
          <w:szCs w:val="28"/>
        </w:rPr>
        <w:t>（六）</w:t>
      </w:r>
      <w:r>
        <w:rPr>
          <w:rFonts w:ascii="宋体" w:hAnsi="宋体" w:eastAsia="宋体"/>
          <w:sz w:val="28"/>
          <w:szCs w:val="28"/>
        </w:rPr>
        <w:t>做好有关政策文件起草工作</w:t>
      </w:r>
      <w:r>
        <w:rPr>
          <w:rFonts w:hint="eastAsia" w:ascii="宋体" w:hAnsi="宋体" w:eastAsia="宋体"/>
          <w:sz w:val="28"/>
          <w:szCs w:val="28"/>
        </w:rPr>
        <w:t>，为全市重点工作提供了指导和遵循</w:t>
      </w:r>
      <w:bookmarkEnd w:id="15"/>
    </w:p>
    <w:p w14:paraId="6EFD1560">
      <w:pPr>
        <w:spacing w:line="360" w:lineRule="auto"/>
        <w:ind w:firstLine="560" w:firstLineChars="200"/>
        <w:rPr>
          <w:rFonts w:ascii="宋体" w:hAnsi="宋体" w:eastAsia="宋体"/>
          <w:sz w:val="28"/>
          <w:szCs w:val="28"/>
        </w:rPr>
      </w:pPr>
      <w:r>
        <w:rPr>
          <w:rFonts w:hint="eastAsia" w:ascii="宋体" w:hAnsi="宋体" w:eastAsia="宋体"/>
          <w:sz w:val="28"/>
          <w:szCs w:val="28"/>
        </w:rPr>
        <w:t>共起草《2018年市委常委会工作要点》《关于严明纪律确保全市机构改革顺利推进和各项工作坚决落实的通知》《关于坚持生态优先绿色发展在深入实施长江经济带战略中推动长沙高质量发展的三年行动计划（2018-2020年）》《中共长沙市委关于落实省委中央第八巡视组反馈意见整改方案的具体实施方案》等6篇政策文件，为全市重点工作提供了指导和遵循。</w:t>
      </w:r>
    </w:p>
    <w:p w14:paraId="291BC29B">
      <w:pPr>
        <w:pStyle w:val="3"/>
        <w:spacing w:before="0" w:after="0" w:line="360" w:lineRule="auto"/>
        <w:ind w:firstLine="560" w:firstLineChars="200"/>
        <w:rPr>
          <w:rFonts w:ascii="宋体" w:hAnsi="宋体" w:eastAsia="宋体"/>
          <w:sz w:val="28"/>
          <w:szCs w:val="28"/>
        </w:rPr>
      </w:pPr>
      <w:bookmarkStart w:id="16" w:name="_Toc3228218"/>
      <w:r>
        <w:rPr>
          <w:rFonts w:hint="eastAsia" w:ascii="宋体" w:hAnsi="宋体" w:eastAsia="宋体"/>
          <w:sz w:val="28"/>
          <w:szCs w:val="28"/>
        </w:rPr>
        <w:t>（七）</w:t>
      </w:r>
      <w:r>
        <w:rPr>
          <w:rFonts w:ascii="宋体" w:hAnsi="宋体" w:eastAsia="宋体"/>
          <w:sz w:val="28"/>
          <w:szCs w:val="28"/>
        </w:rPr>
        <w:t>开展专项调研</w:t>
      </w:r>
      <w:r>
        <w:rPr>
          <w:rFonts w:hint="eastAsia" w:ascii="宋体" w:hAnsi="宋体" w:eastAsia="宋体"/>
          <w:sz w:val="28"/>
          <w:szCs w:val="28"/>
        </w:rPr>
        <w:t>，为转化为全市经济社会发展的实质性政策措施，产生了积极效应</w:t>
      </w:r>
      <w:bookmarkEnd w:id="16"/>
    </w:p>
    <w:p w14:paraId="76F344DB">
      <w:pPr>
        <w:spacing w:line="360" w:lineRule="auto"/>
        <w:ind w:firstLine="560" w:firstLineChars="200"/>
        <w:rPr>
          <w:rFonts w:ascii="宋体" w:hAnsi="宋体" w:eastAsia="宋体"/>
          <w:sz w:val="28"/>
          <w:szCs w:val="28"/>
        </w:rPr>
      </w:pPr>
      <w:r>
        <w:rPr>
          <w:rFonts w:hint="eastAsia" w:ascii="宋体" w:hAnsi="宋体" w:eastAsia="宋体"/>
          <w:sz w:val="28"/>
          <w:szCs w:val="28"/>
        </w:rPr>
        <w:t>自行开展或者联合开展多次专项调研，对事关全市的一些全局性、战略性、前瞻性问题的进行研究，比如“互联网+政务服务”、湘欧快线、“工业云”平台打造、生态农业发展等。研究成果获得了市委主要领导批示4篇，其中《湘欧快线运营难题有待破解——关于湘欧快线发展情况的调查与建议》《加快推进粪污环保化处理落地见效——关于长沙粪污环保化处理改革的调研与建议》已经转化为党委、政府的文件和领导的讲话，成为党委、政府决策的重要依据，《湘欧快线运营难题有待破解——关于湘欧快线发展情况的调查与建议》、《拥抱云平台  融入云时代——关于依托“工业云”平台助力长沙转型升级的建议》等成果已经转化为全市经济社会发展的实质性政策措施，产生了积极效应。</w:t>
      </w:r>
    </w:p>
    <w:p w14:paraId="1554EFB5">
      <w:pPr>
        <w:pStyle w:val="3"/>
        <w:spacing w:before="0" w:after="0" w:line="360" w:lineRule="auto"/>
        <w:ind w:firstLine="560" w:firstLineChars="200"/>
        <w:rPr>
          <w:rFonts w:ascii="宋体" w:hAnsi="宋体" w:eastAsia="宋体"/>
          <w:sz w:val="28"/>
          <w:szCs w:val="28"/>
        </w:rPr>
      </w:pPr>
      <w:bookmarkStart w:id="17" w:name="_Toc3228219"/>
      <w:r>
        <w:rPr>
          <w:rFonts w:hint="eastAsia" w:ascii="宋体" w:hAnsi="宋体" w:eastAsia="宋体"/>
          <w:sz w:val="28"/>
          <w:szCs w:val="28"/>
        </w:rPr>
        <w:t>（八）</w:t>
      </w:r>
      <w:r>
        <w:rPr>
          <w:rFonts w:ascii="宋体" w:hAnsi="宋体" w:eastAsia="宋体"/>
          <w:sz w:val="28"/>
          <w:szCs w:val="28"/>
        </w:rPr>
        <w:t>加强全面深化改革工作督察</w:t>
      </w:r>
      <w:r>
        <w:rPr>
          <w:rFonts w:hint="eastAsia" w:ascii="宋体" w:hAnsi="宋体" w:eastAsia="宋体"/>
          <w:sz w:val="28"/>
          <w:szCs w:val="28"/>
        </w:rPr>
        <w:t>，获得督察组充分肯定</w:t>
      </w:r>
      <w:bookmarkEnd w:id="17"/>
    </w:p>
    <w:p w14:paraId="1838AD1B">
      <w:pPr>
        <w:spacing w:line="360" w:lineRule="auto"/>
        <w:ind w:firstLine="560" w:firstLineChars="200"/>
        <w:rPr>
          <w:rFonts w:ascii="宋体" w:hAnsi="宋体" w:eastAsia="宋体"/>
          <w:sz w:val="28"/>
          <w:szCs w:val="28"/>
        </w:rPr>
      </w:pPr>
      <w:r>
        <w:rPr>
          <w:rFonts w:hint="eastAsia" w:ascii="宋体" w:hAnsi="宋体" w:eastAsia="宋体"/>
          <w:sz w:val="28"/>
          <w:szCs w:val="28"/>
        </w:rPr>
        <w:t>坚持将督察作为改革责任上肩和改革落地见效的重要举措，组织和开展全方位、多层次、数批次的日常督察、全面督察、专项督察和重点督察等，保持改革督察的力度、密度和效度，确保年度改革目标任务按时按质完成。相关重点攻坚改革事项督察专报获市领导肯定性批示，其中《城市基层党建体制机制创新督察专报》得到衡华书记重视。1.日常督察。将全年改革任务按重点攻坚、统筹实施、试点示范、基层探索4类录入动态管理信息平台，明确任务倒排、责任领导、牵头处室和联络人。按月督促各改革任务牵头单位填报任务进展情况，就任务进展在动态管理平台内审核监测，并印发“改革进展填报情况通报”6期。2.全面督察。通过改革动态管理平台录入情况，实时监测、定期调度改革任务进展，印发改革通报5期，其中：调度全年改革任务的2期、重点攻坚改革事项的1期、中央深改组会议审议改革方案落实情况的1期、2017年市委深改组会议审议改革方案落实情况的1期。9月，对区县（市）改革推进情况进行中期督察，各区县（市）就本级年度要点、试点示范、基层探索等改革进展情况形成书面报告。3.专项督察。5月和7月，分别两次对全市群团改革进行专项督察；对2017年市委全面深化改革领导小组会议审议通过的改革方案的完成落实情况进行“回头看”，对十八届三中全会以来中央深改组、深改委审议通过的具体改革文件长沙的落实情况进行逐项核实梳理，分别形成改革通报，并对市里没有对应出台文件或落实的，发送提示函24份、交办函51份进行督促督办。4.重点督察。对重点攻坚改革事项进行多轮次、多形式重点督察，就城市基层党建体制机制创新、园区体制综合改革进行问卷调查，共发放问卷86份；针对12项重点攻坚改革事项进行逐项督察，已推出8期督察专报，报相关市领导，就具体事项向相关部门进行了交办；5月和9月，分别做好中央改革办乡镇服务能力建设和国企党建督察相关工作，均获得督察组充分肯定。</w:t>
      </w:r>
    </w:p>
    <w:p w14:paraId="5EA61944">
      <w:pPr>
        <w:pStyle w:val="3"/>
        <w:spacing w:before="0" w:after="0" w:line="360" w:lineRule="auto"/>
        <w:ind w:firstLine="560" w:firstLineChars="200"/>
        <w:rPr>
          <w:rFonts w:ascii="宋体" w:hAnsi="宋体" w:eastAsia="宋体"/>
          <w:sz w:val="28"/>
          <w:szCs w:val="28"/>
        </w:rPr>
      </w:pPr>
      <w:bookmarkStart w:id="18" w:name="_Toc3228220"/>
      <w:r>
        <w:rPr>
          <w:rFonts w:hint="eastAsia" w:ascii="宋体" w:hAnsi="宋体" w:eastAsia="宋体"/>
          <w:sz w:val="28"/>
          <w:szCs w:val="28"/>
        </w:rPr>
        <w:t>（九）通过</w:t>
      </w:r>
      <w:r>
        <w:rPr>
          <w:rFonts w:ascii="宋体" w:hAnsi="宋体" w:eastAsia="宋体"/>
          <w:sz w:val="28"/>
          <w:szCs w:val="28"/>
        </w:rPr>
        <w:t>《长沙调研》</w:t>
      </w:r>
      <w:r>
        <w:rPr>
          <w:rFonts w:hint="eastAsia" w:ascii="宋体" w:hAnsi="宋体" w:eastAsia="宋体"/>
          <w:sz w:val="28"/>
          <w:szCs w:val="28"/>
        </w:rPr>
        <w:t>、《长沙通讯》平台促进资源共享、对改革开放、党建设规划作出宣传引导</w:t>
      </w:r>
      <w:bookmarkEnd w:id="18"/>
    </w:p>
    <w:p w14:paraId="4D91A875">
      <w:pPr>
        <w:spacing w:line="360" w:lineRule="auto"/>
        <w:ind w:firstLine="560" w:firstLineChars="200"/>
        <w:rPr>
          <w:rFonts w:ascii="宋体" w:hAnsi="宋体" w:eastAsia="宋体"/>
          <w:sz w:val="28"/>
          <w:szCs w:val="28"/>
        </w:rPr>
      </w:pPr>
      <w:r>
        <w:rPr>
          <w:rFonts w:hint="eastAsia" w:ascii="宋体" w:hAnsi="宋体" w:eastAsia="宋体"/>
          <w:sz w:val="28"/>
          <w:szCs w:val="28"/>
        </w:rPr>
        <w:t>通过自主调研和联合调研模式，同时面向全市各决策咨询机构征集优秀调研文稿，全年刊发《长沙调研》12期，成为长沙影响力较强的调研成果资政平台。</w:t>
      </w:r>
    </w:p>
    <w:p w14:paraId="147F6E48">
      <w:pPr>
        <w:spacing w:line="360" w:lineRule="auto"/>
        <w:ind w:firstLine="560" w:firstLineChars="200"/>
        <w:rPr>
          <w:rFonts w:ascii="宋体" w:hAnsi="宋体" w:eastAsia="宋体"/>
          <w:sz w:val="28"/>
          <w:szCs w:val="28"/>
        </w:rPr>
      </w:pPr>
      <w:r>
        <w:rPr>
          <w:rFonts w:hint="eastAsia" w:ascii="宋体" w:hAnsi="宋体" w:eastAsia="宋体"/>
          <w:sz w:val="28"/>
          <w:szCs w:val="28"/>
        </w:rPr>
        <w:t>全年按期高质出刊</w:t>
      </w:r>
      <w:r>
        <w:rPr>
          <w:rFonts w:ascii="宋体" w:hAnsi="宋体" w:eastAsia="宋体"/>
          <w:kern w:val="0"/>
          <w:sz w:val="28"/>
          <w:szCs w:val="28"/>
        </w:rPr>
        <w:t>《长沙通讯》</w:t>
      </w:r>
      <w:r>
        <w:rPr>
          <w:rFonts w:hint="eastAsia" w:ascii="宋体" w:hAnsi="宋体" w:eastAsia="宋体"/>
          <w:sz w:val="28"/>
          <w:szCs w:val="28"/>
        </w:rPr>
        <w:t>12期，传递了市委声音、指导了全市工作、反映了基层呼声；精心策划推出GDP过万亿、高质量发展、新旧动能转换、园区发展、长株潭一体化等主题策划，刊物权威性和影响力进一步提升；较好地对改革开放、中心工作、民生福祉等进行了宣传报道；再次获评“2018全国十佳城市党刊”。</w:t>
      </w:r>
    </w:p>
    <w:p w14:paraId="6123FD00">
      <w:pPr>
        <w:pStyle w:val="3"/>
        <w:spacing w:before="0" w:after="0" w:line="360" w:lineRule="auto"/>
        <w:ind w:firstLine="560" w:firstLineChars="200"/>
        <w:rPr>
          <w:rFonts w:ascii="宋体" w:hAnsi="宋体" w:eastAsia="宋体"/>
          <w:sz w:val="28"/>
          <w:szCs w:val="28"/>
        </w:rPr>
      </w:pPr>
      <w:bookmarkStart w:id="19" w:name="_Toc3228221"/>
      <w:r>
        <w:rPr>
          <w:rFonts w:hint="eastAsia" w:ascii="宋体" w:hAnsi="宋体" w:eastAsia="宋体"/>
          <w:sz w:val="28"/>
          <w:szCs w:val="28"/>
        </w:rPr>
        <w:t>（十）</w:t>
      </w:r>
      <w:r>
        <w:rPr>
          <w:rFonts w:ascii="宋体" w:hAnsi="宋体" w:eastAsia="宋体"/>
          <w:sz w:val="28"/>
          <w:szCs w:val="28"/>
        </w:rPr>
        <w:t>撰写总结性材料</w:t>
      </w:r>
      <w:r>
        <w:rPr>
          <w:rFonts w:hint="eastAsia" w:ascii="宋体" w:hAnsi="宋体" w:eastAsia="宋体"/>
          <w:sz w:val="28"/>
          <w:szCs w:val="28"/>
        </w:rPr>
        <w:t>，全面客观展示了长沙的工作成绩和特色亮点</w:t>
      </w:r>
      <w:bookmarkEnd w:id="19"/>
    </w:p>
    <w:p w14:paraId="54A1DB58">
      <w:pPr>
        <w:spacing w:line="360" w:lineRule="auto"/>
        <w:ind w:firstLine="560" w:firstLineChars="200"/>
        <w:rPr>
          <w:rFonts w:ascii="宋体" w:hAnsi="宋体" w:eastAsia="宋体"/>
          <w:sz w:val="28"/>
          <w:szCs w:val="28"/>
        </w:rPr>
      </w:pPr>
      <w:r>
        <w:rPr>
          <w:rFonts w:hint="eastAsia" w:ascii="宋体" w:hAnsi="宋体" w:eastAsia="宋体"/>
          <w:sz w:val="28"/>
          <w:szCs w:val="28"/>
        </w:rPr>
        <w:t>起草市委综合性总结材料6篇，如《市委关于长沙市2017年工作推进情况和2018年工作部署的报告》《市委2018年上半年工作情况报告》《长沙市巡视整改工作推进情况》《市委常委会向市委十三届七次全体会议的工作报告》《2018年中共长沙市委工作总结》《市委基层党建述职报告》等全面客观展示了长沙的工作成绩和特色亮点。</w:t>
      </w:r>
    </w:p>
    <w:p w14:paraId="6A66B0E1">
      <w:pPr>
        <w:pStyle w:val="3"/>
        <w:spacing w:before="0" w:after="0" w:line="360" w:lineRule="auto"/>
        <w:ind w:firstLine="560" w:firstLineChars="200"/>
        <w:rPr>
          <w:rFonts w:ascii="宋体" w:hAnsi="宋体" w:eastAsia="宋体"/>
          <w:sz w:val="28"/>
          <w:szCs w:val="28"/>
        </w:rPr>
      </w:pPr>
      <w:bookmarkStart w:id="20" w:name="_Toc3228222"/>
      <w:r>
        <w:rPr>
          <w:rFonts w:hint="eastAsia" w:ascii="宋体" w:hAnsi="宋体" w:eastAsia="宋体"/>
          <w:sz w:val="28"/>
          <w:szCs w:val="28"/>
        </w:rPr>
        <w:t>（十一）高质量</w:t>
      </w:r>
      <w:r>
        <w:rPr>
          <w:rFonts w:ascii="宋体" w:hAnsi="宋体" w:eastAsia="宋体"/>
          <w:sz w:val="28"/>
          <w:szCs w:val="28"/>
        </w:rPr>
        <w:t>撰写</w:t>
      </w:r>
      <w:r>
        <w:rPr>
          <w:rFonts w:hint="eastAsia" w:ascii="宋体" w:hAnsi="宋体" w:eastAsia="宋体"/>
          <w:sz w:val="28"/>
          <w:szCs w:val="28"/>
        </w:rPr>
        <w:t>多项</w:t>
      </w:r>
      <w:r>
        <w:rPr>
          <w:rFonts w:ascii="宋体" w:hAnsi="宋体" w:eastAsia="宋体"/>
          <w:sz w:val="28"/>
          <w:szCs w:val="28"/>
        </w:rPr>
        <w:t>呈报性综合材料</w:t>
      </w:r>
      <w:r>
        <w:rPr>
          <w:rFonts w:hint="eastAsia" w:ascii="宋体" w:hAnsi="宋体" w:eastAsia="宋体"/>
          <w:sz w:val="28"/>
          <w:szCs w:val="28"/>
        </w:rPr>
        <w:t>、为市委领导工作提供参考</w:t>
      </w:r>
      <w:bookmarkEnd w:id="20"/>
    </w:p>
    <w:p w14:paraId="5A906746">
      <w:pPr>
        <w:spacing w:line="360" w:lineRule="auto"/>
        <w:ind w:firstLine="560" w:firstLineChars="200"/>
        <w:rPr>
          <w:rFonts w:ascii="宋体" w:hAnsi="宋体" w:eastAsia="宋体"/>
          <w:sz w:val="28"/>
          <w:szCs w:val="28"/>
        </w:rPr>
      </w:pPr>
      <w:r>
        <w:rPr>
          <w:rFonts w:hint="eastAsia" w:ascii="宋体" w:hAnsi="宋体" w:eastAsia="宋体"/>
          <w:sz w:val="28"/>
          <w:szCs w:val="28"/>
        </w:rPr>
        <w:t>撰写综合性呈报材料30余篇，如家毫书记调研情况汇报、中央巡视反馈意见整改、环保督察、“反炒房”、传达学习中央省委重要会议精神和中央领导同志重要批示精神系列专报和产业项目建设、重点片区建设、乡村振兴、从严治党等报告。《关于长沙市625楼市调控政策出台后房地产市场情况调查》等得到家毫书记等领导批示，《关于提升我市党内报告工作质量水平的措施与建议》等得到衡华书记批示。</w:t>
      </w:r>
    </w:p>
    <w:p w14:paraId="63FCD570">
      <w:pPr>
        <w:pStyle w:val="3"/>
        <w:spacing w:before="0" w:after="0" w:line="360" w:lineRule="auto"/>
        <w:ind w:firstLine="560" w:firstLineChars="200"/>
        <w:rPr>
          <w:rFonts w:ascii="宋体" w:hAnsi="宋体" w:eastAsia="宋体"/>
          <w:sz w:val="28"/>
          <w:szCs w:val="28"/>
        </w:rPr>
      </w:pPr>
      <w:bookmarkStart w:id="21" w:name="_Toc3228223"/>
      <w:r>
        <w:rPr>
          <w:rFonts w:hint="eastAsia" w:ascii="宋体" w:hAnsi="宋体" w:eastAsia="宋体"/>
          <w:sz w:val="28"/>
          <w:szCs w:val="28"/>
        </w:rPr>
        <w:t>（十二）学习十九大精神，落实党风廉政建设“两个责任”，开展党的群众路线教育实践活动、切实改进工作作风</w:t>
      </w:r>
      <w:bookmarkEnd w:id="21"/>
    </w:p>
    <w:p w14:paraId="0F601DDB">
      <w:pPr>
        <w:widowControl/>
        <w:snapToGrid w:val="0"/>
        <w:spacing w:line="360" w:lineRule="auto"/>
        <w:ind w:firstLine="560" w:firstLineChars="200"/>
        <w:jc w:val="left"/>
        <w:rPr>
          <w:rFonts w:ascii="宋体" w:hAnsi="宋体" w:eastAsia="宋体"/>
          <w:sz w:val="28"/>
          <w:szCs w:val="28"/>
        </w:rPr>
      </w:pPr>
      <w:r>
        <w:rPr>
          <w:rFonts w:hint="eastAsia" w:ascii="宋体" w:hAnsi="宋体" w:eastAsia="宋体"/>
          <w:sz w:val="28"/>
          <w:szCs w:val="28"/>
        </w:rPr>
        <w:t>深入学习贯彻习近平新时代中国特色社会主义思想和党的十九大精神，认真贯彻落实中央、省委、市委市政府决策部署，完成上级交办的各项工作任务，及时传达上级文件精神，积极落实党委（党组）工作报告制度，切实做到政治坚定、政令畅通。</w:t>
      </w:r>
    </w:p>
    <w:p w14:paraId="174B46C6">
      <w:pPr>
        <w:widowControl/>
        <w:snapToGrid w:val="0"/>
        <w:spacing w:line="360" w:lineRule="auto"/>
        <w:ind w:firstLine="560" w:firstLineChars="200"/>
        <w:jc w:val="left"/>
        <w:rPr>
          <w:rFonts w:ascii="宋体" w:hAnsi="宋体" w:eastAsia="宋体"/>
          <w:sz w:val="28"/>
          <w:szCs w:val="28"/>
        </w:rPr>
      </w:pPr>
      <w:r>
        <w:rPr>
          <w:rFonts w:hint="eastAsia" w:ascii="宋体" w:hAnsi="宋体" w:eastAsia="宋体"/>
          <w:sz w:val="28"/>
          <w:szCs w:val="28"/>
        </w:rPr>
        <w:t>全面推进主体责任贯彻落实，在管导向、管干部、管作风、管纪律上全面履职。年初制定了《2018年党风廉政建设和反腐败工作要点》，细化了主体责任清单，室务会成员全部签订责任状并认真填写《履责纪实手册》。全年专题研究部署党风廉政建设工作10余次，高标准召开了全室党的建设工作推进会，全面加强党的政治建设。全力支持配合驻市委办纪检监察组开展公车督查、财经纪律专项督查和落实党风廉政建设责任制专题调研，有针对性地完善了党费管理、经费开支、公务接待、工作用餐、公务出行和办公用品领用等一系列制度，完善了内控规范，建立了廉政风险防控制度。一以贯之落实中央八项规定精神，持续开展纠四风专项治理，副科级以上干部签署了拒收红包礼金承诺书，正科级以上干部填报了“提篮子”问题报告表，有序推进廉洁家访活动和党员廉政档案建设工作。全年全室党员干部无任何违纪违法事件。省人大各厅级机构高度重视党的群众路线教育实践活动，严格按照中央、省委、省人大机关党组的统一安排部署，深入开展党的群众路线教育实践活动。聚焦“四风”，深入查摆问题，开展批评与自我批评，坚持立行立改，严格执行中央</w:t>
      </w:r>
      <w:bookmarkStart w:id="31" w:name="_GoBack"/>
      <w:bookmarkEnd w:id="31"/>
      <w:r>
        <w:rPr>
          <w:rFonts w:hint="eastAsia" w:ascii="宋体" w:hAnsi="宋体" w:eastAsia="宋体"/>
          <w:sz w:val="28"/>
          <w:szCs w:val="28"/>
        </w:rPr>
        <w:t>八项规定和省委“九条规定”，切实改进工作作风，获得了群众的好评。</w:t>
      </w:r>
    </w:p>
    <w:p w14:paraId="4130A9F5">
      <w:pPr>
        <w:pStyle w:val="3"/>
        <w:spacing w:before="0" w:after="0" w:line="360" w:lineRule="auto"/>
        <w:ind w:firstLine="560" w:firstLineChars="200"/>
        <w:rPr>
          <w:rFonts w:ascii="宋体" w:hAnsi="宋体" w:eastAsia="宋体"/>
          <w:sz w:val="28"/>
          <w:szCs w:val="28"/>
        </w:rPr>
      </w:pPr>
      <w:bookmarkStart w:id="22" w:name="_Toc3228224"/>
      <w:r>
        <w:rPr>
          <w:rFonts w:hint="eastAsia" w:ascii="宋体" w:hAnsi="宋体" w:eastAsia="宋体"/>
          <w:sz w:val="28"/>
          <w:szCs w:val="28"/>
        </w:rPr>
        <w:t>（十三）加强党建、干部、人才和统战工作，完善制度建设，培养新人才</w:t>
      </w:r>
      <w:bookmarkEnd w:id="22"/>
    </w:p>
    <w:p w14:paraId="706D1814">
      <w:pPr>
        <w:widowControl/>
        <w:snapToGrid w:val="0"/>
        <w:spacing w:line="360" w:lineRule="auto"/>
        <w:ind w:firstLine="560" w:firstLineChars="200"/>
        <w:jc w:val="left"/>
        <w:rPr>
          <w:rFonts w:ascii="宋体" w:hAnsi="宋体" w:eastAsia="宋体"/>
          <w:sz w:val="28"/>
          <w:szCs w:val="28"/>
        </w:rPr>
      </w:pPr>
      <w:r>
        <w:rPr>
          <w:rFonts w:hint="eastAsia" w:ascii="宋体" w:hAnsi="宋体" w:eastAsia="宋体"/>
          <w:sz w:val="28"/>
          <w:szCs w:val="28"/>
        </w:rPr>
        <w:t>结合“五化”支部建设、“三会一课”、“知新汇”学习等载体，深入开展“不忘初心、牢记使命”主题教育。一年来组织召开10次中心组理论学习和14次室务会，以责任清单压实班子成员的“一岗双责”，全室50%以上党员干部直接服务党建工作；设立“四个标兵”（学习、善谋、实干、律己）评选、业务工作讲评、体验式调研（到企业、到项目、到社区、到农村体验）等载体，把主题党日细化为学习讨论日、党性分析日、民主议事日、党员服务日等9个方面，引导党员争当先锋。注重在立制中搞建设，严格落实“三会一课”、谈心谈话等制度，在现有26项制度和43项工作流程基础上，新修订《经费管理和公务活动制度》《机关工会走访慰问管理办法》《关于深入开展调查研究的实施办法》《机关党员积分管理办法》，用制度管人管事管作风。单位主要领导认真履行好市领导联系服务人才工作职责。全年共派员参加各类培训14人（次），增进了干部学识，开阔了干部眼界。新遴选3名年轻公务员，业务处室和领导力量进一步加强，人员结构进一步优化。加强老干工作，组织退休老干部参加“三会一课”和重阳节考察活动。</w:t>
      </w:r>
    </w:p>
    <w:p w14:paraId="0350A02A">
      <w:pPr>
        <w:pStyle w:val="2"/>
        <w:spacing w:before="0" w:after="0" w:line="360" w:lineRule="auto"/>
        <w:ind w:firstLine="560" w:firstLineChars="200"/>
        <w:rPr>
          <w:rFonts w:ascii="宋体" w:hAnsi="宋体" w:eastAsia="宋体"/>
          <w:kern w:val="0"/>
          <w:sz w:val="28"/>
          <w:szCs w:val="28"/>
        </w:rPr>
      </w:pPr>
      <w:bookmarkStart w:id="23" w:name="_Toc3228225"/>
      <w:r>
        <w:rPr>
          <w:rFonts w:hint="eastAsia" w:ascii="宋体" w:hAnsi="宋体" w:eastAsia="宋体"/>
          <w:kern w:val="0"/>
          <w:sz w:val="28"/>
          <w:szCs w:val="28"/>
        </w:rPr>
        <w:t>五、存在的主要问题</w:t>
      </w:r>
      <w:bookmarkEnd w:id="23"/>
    </w:p>
    <w:p w14:paraId="32FA36D8">
      <w:pPr>
        <w:pStyle w:val="3"/>
        <w:spacing w:before="0" w:after="0" w:line="360" w:lineRule="auto"/>
        <w:ind w:firstLine="560" w:firstLineChars="200"/>
        <w:rPr>
          <w:rFonts w:ascii="宋体" w:hAnsi="宋体" w:eastAsia="宋体"/>
          <w:sz w:val="28"/>
          <w:szCs w:val="28"/>
        </w:rPr>
      </w:pPr>
      <w:bookmarkStart w:id="24" w:name="_Toc3228226"/>
      <w:r>
        <w:rPr>
          <w:rFonts w:hint="eastAsia" w:ascii="宋体" w:hAnsi="宋体" w:eastAsia="宋体"/>
          <w:sz w:val="28"/>
          <w:szCs w:val="28"/>
        </w:rPr>
        <w:t>（一）预算编制不够完善</w:t>
      </w:r>
      <w:bookmarkEnd w:id="24"/>
    </w:p>
    <w:p w14:paraId="3ECA1B81">
      <w:pPr>
        <w:spacing w:line="360" w:lineRule="auto"/>
        <w:ind w:firstLine="560" w:firstLineChars="200"/>
        <w:jc w:val="left"/>
        <w:rPr>
          <w:rFonts w:ascii="宋体" w:hAnsi="宋体" w:eastAsia="宋体"/>
          <w:sz w:val="28"/>
          <w:szCs w:val="28"/>
        </w:rPr>
      </w:pPr>
      <w:r>
        <w:rPr>
          <w:rFonts w:hint="eastAsia" w:ascii="宋体" w:hAnsi="宋体" w:eastAsia="宋体"/>
          <w:sz w:val="28"/>
          <w:szCs w:val="28"/>
        </w:rPr>
        <w:t>2018年初省财政批复预算支出965.82万元，年中追加111.86万元，追加预算占年初11.58</w:t>
      </w:r>
      <w:r>
        <w:rPr>
          <w:rFonts w:ascii="宋体" w:hAnsi="宋体" w:eastAsia="宋体"/>
          <w:sz w:val="28"/>
          <w:szCs w:val="28"/>
        </w:rPr>
        <w:t>%</w:t>
      </w:r>
      <w:r>
        <w:rPr>
          <w:rFonts w:hint="eastAsia" w:ascii="宋体" w:hAnsi="宋体" w:eastAsia="宋体"/>
          <w:sz w:val="28"/>
          <w:szCs w:val="28"/>
        </w:rPr>
        <w:t>。2018年实际支出1077.68万元，超年初预算111.86万元，占比11.58</w:t>
      </w:r>
      <w:r>
        <w:rPr>
          <w:rFonts w:ascii="宋体" w:hAnsi="宋体" w:eastAsia="宋体"/>
          <w:sz w:val="28"/>
          <w:szCs w:val="28"/>
        </w:rPr>
        <w:t>%</w:t>
      </w:r>
      <w:r>
        <w:rPr>
          <w:rFonts w:hint="eastAsia" w:ascii="宋体" w:hAnsi="宋体" w:eastAsia="宋体"/>
          <w:sz w:val="28"/>
          <w:szCs w:val="28"/>
        </w:rPr>
        <w:t>。预算调整不大，项目不够完整、细化，如：人员费用机关事业单位基本养老保险缴费、津贴补贴、奖金等。</w:t>
      </w:r>
    </w:p>
    <w:p w14:paraId="22D5F10C">
      <w:pPr>
        <w:pStyle w:val="3"/>
        <w:spacing w:before="0" w:after="0" w:line="360" w:lineRule="auto"/>
        <w:ind w:firstLine="560" w:firstLineChars="200"/>
        <w:rPr>
          <w:rFonts w:ascii="宋体" w:hAnsi="宋体" w:eastAsia="宋体"/>
          <w:sz w:val="28"/>
          <w:szCs w:val="28"/>
        </w:rPr>
      </w:pPr>
      <w:bookmarkStart w:id="25" w:name="_Toc3228227"/>
      <w:r>
        <w:rPr>
          <w:rFonts w:hint="eastAsia" w:ascii="宋体" w:hAnsi="宋体" w:eastAsia="宋体"/>
          <w:sz w:val="28"/>
          <w:szCs w:val="28"/>
        </w:rPr>
        <w:t>（二）预算执行存在偏差</w:t>
      </w:r>
      <w:bookmarkEnd w:id="25"/>
    </w:p>
    <w:p w14:paraId="125FB86F">
      <w:pPr>
        <w:widowControl/>
        <w:snapToGrid w:val="0"/>
        <w:spacing w:line="360" w:lineRule="auto"/>
        <w:ind w:firstLine="560" w:firstLineChars="200"/>
        <w:jc w:val="left"/>
        <w:rPr>
          <w:rFonts w:ascii="宋体" w:hAnsi="宋体" w:eastAsia="宋体"/>
          <w:sz w:val="28"/>
          <w:szCs w:val="28"/>
        </w:rPr>
      </w:pPr>
      <w:r>
        <w:rPr>
          <w:rFonts w:hint="eastAsia" w:ascii="宋体" w:hAnsi="宋体" w:eastAsia="宋体"/>
          <w:sz w:val="28"/>
          <w:szCs w:val="28"/>
        </w:rPr>
        <w:t>因员工经费用预算安排不足，在实际经费列支中，未严格按照预算科目及专项项目进行列支，且各支出子项存在调剂的现象，部分基本支出挤占了项目支出。</w:t>
      </w:r>
    </w:p>
    <w:p w14:paraId="2A364E84">
      <w:pPr>
        <w:pStyle w:val="3"/>
        <w:spacing w:before="0" w:after="0" w:line="360" w:lineRule="auto"/>
        <w:ind w:firstLine="560" w:firstLineChars="200"/>
        <w:rPr>
          <w:rFonts w:ascii="宋体" w:hAnsi="宋体" w:eastAsia="宋体"/>
          <w:sz w:val="28"/>
          <w:szCs w:val="28"/>
        </w:rPr>
      </w:pPr>
      <w:bookmarkStart w:id="26" w:name="_Toc3228228"/>
      <w:r>
        <w:rPr>
          <w:rFonts w:hint="eastAsia" w:ascii="宋体" w:hAnsi="宋体" w:eastAsia="宋体"/>
          <w:sz w:val="28"/>
          <w:szCs w:val="28"/>
        </w:rPr>
        <w:t>（三）固定资产管理有待加强</w:t>
      </w:r>
      <w:bookmarkEnd w:id="26"/>
    </w:p>
    <w:p w14:paraId="669C1BB9">
      <w:pPr>
        <w:widowControl/>
        <w:snapToGrid w:val="0"/>
        <w:spacing w:line="360" w:lineRule="auto"/>
        <w:ind w:firstLine="560" w:firstLineChars="200"/>
        <w:jc w:val="left"/>
        <w:rPr>
          <w:rFonts w:ascii="宋体" w:hAnsi="宋体" w:eastAsia="宋体"/>
          <w:sz w:val="28"/>
          <w:szCs w:val="28"/>
        </w:rPr>
      </w:pPr>
      <w:r>
        <w:rPr>
          <w:rFonts w:hint="eastAsia" w:ascii="宋体" w:hAnsi="宋体" w:eastAsia="宋体"/>
          <w:sz w:val="28"/>
          <w:szCs w:val="28"/>
        </w:rPr>
        <w:t>因固定资产种类繁多，规格不一，虽然配备了专人管理，但还是存在已处理与新增的资产未及时登录入台账的现象，固定资产未计提折旧。</w:t>
      </w:r>
      <w:r>
        <w:rPr>
          <w:rFonts w:ascii="宋体" w:hAnsi="宋体" w:eastAsia="宋体"/>
          <w:sz w:val="28"/>
          <w:szCs w:val="28"/>
        </w:rPr>
        <w:t xml:space="preserve"> </w:t>
      </w:r>
    </w:p>
    <w:p w14:paraId="07854334">
      <w:pPr>
        <w:pStyle w:val="2"/>
        <w:spacing w:before="0" w:after="0" w:line="360" w:lineRule="auto"/>
        <w:ind w:firstLine="560" w:firstLineChars="200"/>
        <w:rPr>
          <w:rFonts w:ascii="宋体" w:hAnsi="宋体" w:eastAsia="宋体"/>
          <w:kern w:val="0"/>
          <w:sz w:val="28"/>
          <w:szCs w:val="28"/>
        </w:rPr>
      </w:pPr>
      <w:bookmarkStart w:id="27" w:name="_Toc3228229"/>
      <w:r>
        <w:rPr>
          <w:rFonts w:hint="eastAsia" w:ascii="宋体" w:hAnsi="宋体" w:eastAsia="宋体"/>
          <w:kern w:val="0"/>
          <w:sz w:val="28"/>
          <w:szCs w:val="28"/>
        </w:rPr>
        <w:t>六、改进措施和有关建议</w:t>
      </w:r>
      <w:bookmarkEnd w:id="27"/>
    </w:p>
    <w:p w14:paraId="177AC7D5">
      <w:pPr>
        <w:pStyle w:val="3"/>
        <w:spacing w:before="0" w:after="0" w:line="360" w:lineRule="auto"/>
        <w:ind w:firstLine="560" w:firstLineChars="200"/>
        <w:rPr>
          <w:rFonts w:ascii="宋体" w:hAnsi="宋体" w:eastAsia="宋体"/>
          <w:sz w:val="28"/>
          <w:szCs w:val="28"/>
        </w:rPr>
      </w:pPr>
      <w:bookmarkStart w:id="28" w:name="_Toc3228230"/>
      <w:r>
        <w:rPr>
          <w:rFonts w:hint="eastAsia" w:ascii="宋体" w:hAnsi="宋体" w:eastAsia="宋体"/>
          <w:sz w:val="28"/>
          <w:szCs w:val="28"/>
        </w:rPr>
        <w:t>（一）科学合理编制预算，严格执行预算</w:t>
      </w:r>
      <w:bookmarkEnd w:id="28"/>
    </w:p>
    <w:p w14:paraId="16B054FC">
      <w:pPr>
        <w:widowControl/>
        <w:snapToGrid w:val="0"/>
        <w:spacing w:line="360" w:lineRule="auto"/>
        <w:ind w:firstLine="560" w:firstLineChars="200"/>
        <w:jc w:val="left"/>
        <w:rPr>
          <w:rFonts w:ascii="宋体" w:hAnsi="宋体" w:eastAsia="宋体"/>
          <w:sz w:val="28"/>
          <w:szCs w:val="28"/>
        </w:rPr>
      </w:pPr>
      <w:r>
        <w:rPr>
          <w:rFonts w:hint="eastAsia" w:ascii="宋体" w:hAnsi="宋体" w:eastAsia="宋体"/>
          <w:sz w:val="28"/>
          <w:szCs w:val="28"/>
        </w:rPr>
        <w:t>建议按照《预算法》及其实施条例的相关规定，参考上一年的预算执行情况和年度的收支预测科学编制预算，避免年中大幅追加以及超预算。同时在编制预算项目时与上年核算科目结合起来，避免项目支出与基本支出划分不准。在预算执行中，严格按</w:t>
      </w:r>
      <w:r>
        <w:rPr>
          <w:rFonts w:ascii="宋体" w:hAnsi="宋体" w:eastAsia="宋体"/>
          <w:color w:val="000000"/>
          <w:sz w:val="28"/>
          <w:szCs w:val="28"/>
        </w:rPr>
        <w:t>照预算科目</w:t>
      </w:r>
      <w:r>
        <w:rPr>
          <w:rFonts w:hint="eastAsia" w:ascii="宋体" w:hAnsi="宋体" w:eastAsia="宋体"/>
          <w:color w:val="000000"/>
          <w:sz w:val="28"/>
          <w:szCs w:val="28"/>
        </w:rPr>
        <w:t>支出，避免</w:t>
      </w:r>
      <w:r>
        <w:rPr>
          <w:rFonts w:ascii="宋体" w:hAnsi="宋体" w:eastAsia="宋体"/>
          <w:color w:val="000000"/>
          <w:sz w:val="28"/>
          <w:szCs w:val="28"/>
        </w:rPr>
        <w:t>预算科目间的预算资金调剂</w:t>
      </w:r>
      <w:r>
        <w:rPr>
          <w:rFonts w:hint="eastAsia" w:ascii="宋体" w:hAnsi="宋体" w:eastAsia="宋体"/>
          <w:color w:val="000000"/>
          <w:sz w:val="28"/>
          <w:szCs w:val="28"/>
        </w:rPr>
        <w:t>，确需调剂的，按规定程序报经批准。</w:t>
      </w:r>
    </w:p>
    <w:p w14:paraId="72B427CD">
      <w:pPr>
        <w:pStyle w:val="3"/>
        <w:spacing w:before="0" w:after="0" w:line="360" w:lineRule="auto"/>
        <w:ind w:firstLine="560" w:firstLineChars="200"/>
        <w:rPr>
          <w:rFonts w:ascii="宋体" w:hAnsi="宋体" w:eastAsia="宋体"/>
          <w:sz w:val="28"/>
          <w:szCs w:val="28"/>
        </w:rPr>
      </w:pPr>
      <w:bookmarkStart w:id="29" w:name="_Toc3228231"/>
      <w:r>
        <w:rPr>
          <w:rFonts w:hint="eastAsia" w:ascii="宋体" w:hAnsi="宋体" w:eastAsia="宋体"/>
          <w:sz w:val="28"/>
          <w:szCs w:val="28"/>
        </w:rPr>
        <w:t>（二）加强固定资产管理</w:t>
      </w:r>
      <w:bookmarkEnd w:id="29"/>
    </w:p>
    <w:p w14:paraId="0C9D4728">
      <w:pPr>
        <w:widowControl/>
        <w:snapToGrid w:val="0"/>
        <w:spacing w:line="360" w:lineRule="auto"/>
        <w:ind w:firstLine="560" w:firstLineChars="200"/>
        <w:jc w:val="left"/>
        <w:rPr>
          <w:rFonts w:ascii="宋体" w:hAnsi="宋体" w:eastAsia="宋体"/>
          <w:sz w:val="28"/>
          <w:szCs w:val="28"/>
        </w:rPr>
      </w:pPr>
      <w:r>
        <w:rPr>
          <w:rFonts w:hint="eastAsia" w:ascii="宋体" w:hAnsi="宋体" w:eastAsia="宋体"/>
          <w:sz w:val="28"/>
          <w:szCs w:val="28"/>
        </w:rPr>
        <w:t>严格按照《政府会计制度》、《固定资产管理办法》的规定管理固定资产，及时进行处理，按要求计提折旧。</w:t>
      </w:r>
    </w:p>
    <w:p w14:paraId="27FC88F2">
      <w:pPr>
        <w:pStyle w:val="2"/>
        <w:spacing w:before="0" w:after="0" w:line="360" w:lineRule="auto"/>
        <w:ind w:firstLine="560" w:firstLineChars="200"/>
        <w:rPr>
          <w:rFonts w:ascii="宋体" w:hAnsi="宋体" w:eastAsia="宋体"/>
          <w:kern w:val="0"/>
          <w:sz w:val="28"/>
          <w:szCs w:val="28"/>
        </w:rPr>
      </w:pPr>
      <w:bookmarkStart w:id="30" w:name="_Toc3228232"/>
      <w:r>
        <w:rPr>
          <w:rFonts w:hint="eastAsia" w:ascii="宋体" w:hAnsi="宋体" w:eastAsia="宋体"/>
          <w:kern w:val="0"/>
          <w:sz w:val="28"/>
          <w:szCs w:val="28"/>
        </w:rPr>
        <w:t>七、报告附表</w:t>
      </w:r>
      <w:bookmarkEnd w:id="30"/>
    </w:p>
    <w:p w14:paraId="13E2DA68">
      <w:pPr>
        <w:widowControl/>
        <w:snapToGrid w:val="0"/>
        <w:spacing w:line="360" w:lineRule="auto"/>
        <w:ind w:firstLine="560" w:firstLineChars="200"/>
        <w:jc w:val="left"/>
        <w:rPr>
          <w:rFonts w:ascii="宋体" w:hAnsi="宋体" w:eastAsia="宋体" w:cs="宋体"/>
          <w:b/>
          <w:bCs/>
          <w:kern w:val="0"/>
          <w:szCs w:val="21"/>
        </w:rPr>
      </w:pPr>
      <w:r>
        <w:rPr>
          <w:rFonts w:hint="eastAsia" w:ascii="宋体" w:hAnsi="宋体" w:eastAsia="宋体" w:cs="宋体"/>
          <w:kern w:val="0"/>
          <w:sz w:val="28"/>
          <w:szCs w:val="28"/>
        </w:rPr>
        <w:t>附表一：</w:t>
      </w:r>
      <w:r>
        <w:rPr>
          <w:rFonts w:hint="eastAsia" w:ascii="宋体" w:hAnsi="宋体" w:eastAsia="宋体" w:cs="宋体"/>
          <w:b/>
          <w:bCs/>
          <w:kern w:val="0"/>
          <w:szCs w:val="21"/>
        </w:rPr>
        <w:t>部门整体支出绩效评价基础数据表</w:t>
      </w:r>
    </w:p>
    <w:p w14:paraId="5549F303">
      <w:pPr>
        <w:widowControl/>
        <w:snapToGrid w:val="0"/>
        <w:spacing w:line="360" w:lineRule="auto"/>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附表二：部门整体支出绩效评价指标表</w:t>
      </w:r>
    </w:p>
    <w:p w14:paraId="596D041A">
      <w:pPr>
        <w:widowControl/>
        <w:snapToGrid w:val="0"/>
        <w:spacing w:line="360" w:lineRule="auto"/>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附表三：支出明细表</w:t>
      </w:r>
    </w:p>
    <w:p w14:paraId="055771A4">
      <w:pPr>
        <w:widowControl/>
        <w:snapToGrid w:val="0"/>
        <w:spacing w:line="360" w:lineRule="auto"/>
        <w:ind w:firstLine="560" w:firstLineChars="200"/>
        <w:jc w:val="left"/>
        <w:rPr>
          <w:rFonts w:ascii="宋体" w:hAnsi="宋体" w:eastAsia="宋体" w:cs="宋体"/>
          <w:kern w:val="0"/>
          <w:sz w:val="28"/>
          <w:szCs w:val="28"/>
        </w:rPr>
      </w:pPr>
    </w:p>
    <w:p w14:paraId="36487B6C">
      <w:pPr>
        <w:widowControl/>
        <w:snapToGrid w:val="0"/>
        <w:spacing w:before="100" w:beforeAutospacing="1" w:after="100" w:afterAutospacing="1" w:line="360" w:lineRule="auto"/>
        <w:ind w:firstLine="560" w:firstLineChars="200"/>
        <w:jc w:val="left"/>
        <w:rPr>
          <w:rFonts w:ascii="宋体" w:hAnsi="宋体" w:eastAsia="宋体" w:cs="宋体"/>
          <w:kern w:val="0"/>
          <w:sz w:val="28"/>
          <w:szCs w:val="28"/>
        </w:rPr>
      </w:pPr>
    </w:p>
    <w:p w14:paraId="6F47DF5E">
      <w:pPr>
        <w:widowControl/>
        <w:snapToGrid w:val="0"/>
        <w:spacing w:before="100" w:beforeAutospacing="1" w:after="100" w:afterAutospacing="1" w:line="360" w:lineRule="auto"/>
        <w:ind w:firstLine="560" w:firstLineChars="200"/>
        <w:jc w:val="left"/>
        <w:rPr>
          <w:rFonts w:ascii="宋体" w:hAnsi="宋体" w:eastAsia="宋体" w:cs="宋体"/>
          <w:kern w:val="0"/>
          <w:sz w:val="28"/>
          <w:szCs w:val="28"/>
        </w:rPr>
      </w:pPr>
    </w:p>
    <w:p w14:paraId="278E8360">
      <w:pPr>
        <w:widowControl/>
        <w:snapToGrid w:val="0"/>
        <w:spacing w:before="100" w:beforeAutospacing="1" w:after="100" w:afterAutospacing="1" w:line="360" w:lineRule="auto"/>
        <w:ind w:firstLine="560" w:firstLineChars="200"/>
        <w:jc w:val="left"/>
        <w:rPr>
          <w:rFonts w:ascii="宋体" w:hAnsi="宋体" w:eastAsia="宋体" w:cs="宋体"/>
          <w:kern w:val="0"/>
          <w:sz w:val="28"/>
          <w:szCs w:val="28"/>
        </w:rPr>
      </w:pPr>
    </w:p>
    <w:p w14:paraId="59AA3A34">
      <w:pPr>
        <w:widowControl/>
        <w:snapToGrid w:val="0"/>
        <w:spacing w:before="100" w:beforeAutospacing="1" w:after="100" w:afterAutospacing="1" w:line="360" w:lineRule="auto"/>
        <w:ind w:firstLine="560" w:firstLineChars="200"/>
        <w:jc w:val="left"/>
        <w:rPr>
          <w:rFonts w:ascii="宋体" w:hAnsi="宋体" w:eastAsia="宋体" w:cs="宋体"/>
          <w:kern w:val="0"/>
          <w:sz w:val="28"/>
          <w:szCs w:val="28"/>
        </w:rPr>
      </w:pPr>
    </w:p>
    <w:p w14:paraId="7D08C0C1">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br w:type="page"/>
      </w:r>
    </w:p>
    <w:p w14:paraId="0A9EB67A">
      <w:pPr>
        <w:widowControl/>
        <w:textAlignment w:val="center"/>
        <w:rPr>
          <w:rFonts w:ascii="宋体" w:hAnsi="宋体" w:eastAsia="宋体" w:cs="宋体"/>
          <w:b/>
          <w:bCs/>
          <w:kern w:val="0"/>
          <w:szCs w:val="21"/>
        </w:rPr>
      </w:pPr>
      <w:r>
        <w:rPr>
          <w:rFonts w:hint="eastAsia" w:ascii="宋体" w:hAnsi="宋体" w:eastAsia="宋体" w:cs="宋体"/>
          <w:kern w:val="0"/>
          <w:szCs w:val="21"/>
        </w:rPr>
        <w:t xml:space="preserve">附表1  </w:t>
      </w:r>
      <w:r>
        <w:rPr>
          <w:rFonts w:hint="eastAsia" w:ascii="宋体" w:hAnsi="宋体" w:eastAsia="宋体" w:cs="宋体"/>
          <w:b/>
          <w:bCs/>
          <w:kern w:val="0"/>
          <w:szCs w:val="21"/>
        </w:rPr>
        <w:t xml:space="preserve">                     部门整体支出绩效评价基础数据表</w:t>
      </w:r>
    </w:p>
    <w:tbl>
      <w:tblPr>
        <w:tblStyle w:val="17"/>
        <w:tblpPr w:leftFromText="180" w:rightFromText="180" w:vertAnchor="text" w:horzAnchor="page" w:tblpX="1812" w:tblpY="335"/>
        <w:tblOverlap w:val="never"/>
        <w:tblW w:w="9180"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Layout w:type="fixed"/>
        <w:tblCellMar>
          <w:top w:w="15" w:type="dxa"/>
          <w:left w:w="15" w:type="dxa"/>
          <w:bottom w:w="15" w:type="dxa"/>
          <w:right w:w="15" w:type="dxa"/>
        </w:tblCellMar>
      </w:tblPr>
      <w:tblGrid>
        <w:gridCol w:w="2862"/>
        <w:gridCol w:w="1328"/>
        <w:gridCol w:w="950"/>
        <w:gridCol w:w="1283"/>
        <w:gridCol w:w="1033"/>
        <w:gridCol w:w="934"/>
        <w:gridCol w:w="790"/>
      </w:tblGrid>
      <w:tr w14:paraId="7D7F36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vMerge w:val="restart"/>
            <w:tcBorders>
              <w:tl2br w:val="nil"/>
              <w:tr2bl w:val="nil"/>
            </w:tcBorders>
            <w:shd w:val="clear" w:color="auto" w:fill="FFFFFF" w:themeFill="background1"/>
            <w:vAlign w:val="center"/>
          </w:tcPr>
          <w:p w14:paraId="291EA2F4">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财政供养人员情况</w:t>
            </w:r>
          </w:p>
        </w:tc>
        <w:tc>
          <w:tcPr>
            <w:tcW w:w="2278" w:type="dxa"/>
            <w:gridSpan w:val="2"/>
            <w:tcBorders>
              <w:tl2br w:val="nil"/>
              <w:tr2bl w:val="nil"/>
            </w:tcBorders>
            <w:shd w:val="clear" w:color="auto" w:fill="FFFFFF" w:themeFill="background1"/>
            <w:vAlign w:val="center"/>
          </w:tcPr>
          <w:p w14:paraId="7F0AC461">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编制数</w:t>
            </w:r>
          </w:p>
        </w:tc>
        <w:tc>
          <w:tcPr>
            <w:tcW w:w="2316" w:type="dxa"/>
            <w:gridSpan w:val="2"/>
            <w:tcBorders>
              <w:tl2br w:val="nil"/>
              <w:tr2bl w:val="nil"/>
            </w:tcBorders>
            <w:shd w:val="clear" w:color="auto" w:fill="FFFFFF" w:themeFill="background1"/>
            <w:vAlign w:val="center"/>
          </w:tcPr>
          <w:p w14:paraId="3F1A950A">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2018年实际在职人数</w:t>
            </w:r>
          </w:p>
        </w:tc>
        <w:tc>
          <w:tcPr>
            <w:tcW w:w="1724" w:type="dxa"/>
            <w:gridSpan w:val="2"/>
            <w:tcBorders>
              <w:tl2br w:val="nil"/>
              <w:tr2bl w:val="nil"/>
            </w:tcBorders>
            <w:shd w:val="clear" w:color="auto" w:fill="FFFFFF" w:themeFill="background1"/>
            <w:vAlign w:val="center"/>
          </w:tcPr>
          <w:p w14:paraId="056EE9EB">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控制率</w:t>
            </w:r>
          </w:p>
        </w:tc>
      </w:tr>
      <w:tr w14:paraId="606684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vMerge w:val="continue"/>
            <w:tcBorders>
              <w:tl2br w:val="nil"/>
              <w:tr2bl w:val="nil"/>
            </w:tcBorders>
            <w:shd w:val="clear" w:color="auto" w:fill="FFFFFF" w:themeFill="background1"/>
            <w:vAlign w:val="center"/>
          </w:tcPr>
          <w:p w14:paraId="2C87E4FA">
            <w:pPr>
              <w:rPr>
                <w:rFonts w:ascii="宋体" w:hAnsi="宋体" w:eastAsia="宋体" w:cs="宋体"/>
                <w:color w:val="000000"/>
                <w:szCs w:val="21"/>
              </w:rPr>
            </w:pPr>
          </w:p>
        </w:tc>
        <w:tc>
          <w:tcPr>
            <w:tcW w:w="2278" w:type="dxa"/>
            <w:gridSpan w:val="2"/>
            <w:tcBorders>
              <w:tl2br w:val="nil"/>
              <w:tr2bl w:val="nil"/>
            </w:tcBorders>
            <w:shd w:val="clear" w:color="auto" w:fill="FFFFFF" w:themeFill="background1"/>
            <w:vAlign w:val="center"/>
          </w:tcPr>
          <w:p w14:paraId="03FD39AF">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44</w:t>
            </w:r>
          </w:p>
        </w:tc>
        <w:tc>
          <w:tcPr>
            <w:tcW w:w="2316" w:type="dxa"/>
            <w:gridSpan w:val="2"/>
            <w:tcBorders>
              <w:tl2br w:val="nil"/>
              <w:tr2bl w:val="nil"/>
            </w:tcBorders>
            <w:shd w:val="clear" w:color="auto" w:fill="FFFFFF" w:themeFill="background1"/>
            <w:vAlign w:val="center"/>
          </w:tcPr>
          <w:p w14:paraId="02C8E8A1">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43</w:t>
            </w:r>
          </w:p>
        </w:tc>
        <w:tc>
          <w:tcPr>
            <w:tcW w:w="1724" w:type="dxa"/>
            <w:gridSpan w:val="2"/>
            <w:tcBorders>
              <w:tl2br w:val="nil"/>
              <w:tr2bl w:val="nil"/>
            </w:tcBorders>
            <w:shd w:val="clear" w:color="auto" w:fill="FFFFFF" w:themeFill="background1"/>
            <w:vAlign w:val="center"/>
          </w:tcPr>
          <w:p w14:paraId="763607F7">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98%</w:t>
            </w:r>
          </w:p>
        </w:tc>
      </w:tr>
      <w:tr w14:paraId="684772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162BEB87">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经费控制情况</w:t>
            </w:r>
          </w:p>
        </w:tc>
        <w:tc>
          <w:tcPr>
            <w:tcW w:w="2278" w:type="dxa"/>
            <w:gridSpan w:val="2"/>
            <w:tcBorders>
              <w:tl2br w:val="nil"/>
              <w:tr2bl w:val="nil"/>
            </w:tcBorders>
            <w:shd w:val="clear" w:color="auto" w:fill="FFFFFF" w:themeFill="background1"/>
            <w:vAlign w:val="center"/>
          </w:tcPr>
          <w:p w14:paraId="0DBC8C1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2017年决算数</w:t>
            </w:r>
          </w:p>
        </w:tc>
        <w:tc>
          <w:tcPr>
            <w:tcW w:w="2316" w:type="dxa"/>
            <w:gridSpan w:val="2"/>
            <w:tcBorders>
              <w:tl2br w:val="nil"/>
              <w:tr2bl w:val="nil"/>
            </w:tcBorders>
            <w:shd w:val="clear" w:color="auto" w:fill="FFFFFF" w:themeFill="background1"/>
            <w:vAlign w:val="center"/>
          </w:tcPr>
          <w:p w14:paraId="1D0F128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2018年预算数</w:t>
            </w:r>
          </w:p>
        </w:tc>
        <w:tc>
          <w:tcPr>
            <w:tcW w:w="1724" w:type="dxa"/>
            <w:gridSpan w:val="2"/>
            <w:tcBorders>
              <w:tl2br w:val="nil"/>
              <w:tr2bl w:val="nil"/>
            </w:tcBorders>
            <w:shd w:val="clear" w:color="auto" w:fill="FFFFFF" w:themeFill="background1"/>
            <w:vAlign w:val="center"/>
          </w:tcPr>
          <w:p w14:paraId="342D8792">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2018年决算数</w:t>
            </w:r>
          </w:p>
        </w:tc>
      </w:tr>
      <w:tr w14:paraId="6B473C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15218A04">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三公经费</w:t>
            </w:r>
          </w:p>
        </w:tc>
        <w:tc>
          <w:tcPr>
            <w:tcW w:w="2278" w:type="dxa"/>
            <w:gridSpan w:val="2"/>
            <w:tcBorders>
              <w:tl2br w:val="nil"/>
              <w:tr2bl w:val="nil"/>
            </w:tcBorders>
            <w:shd w:val="clear" w:color="auto" w:fill="FFFFFF" w:themeFill="background1"/>
            <w:vAlign w:val="center"/>
          </w:tcPr>
          <w:p w14:paraId="05C5F48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36.56</w:t>
            </w:r>
          </w:p>
        </w:tc>
        <w:tc>
          <w:tcPr>
            <w:tcW w:w="2316" w:type="dxa"/>
            <w:gridSpan w:val="2"/>
            <w:tcBorders>
              <w:tl2br w:val="nil"/>
              <w:tr2bl w:val="nil"/>
            </w:tcBorders>
            <w:shd w:val="clear" w:color="auto" w:fill="FFFFFF" w:themeFill="background1"/>
            <w:vAlign w:val="center"/>
          </w:tcPr>
          <w:p w14:paraId="002BEF17">
            <w:pPr>
              <w:jc w:val="center"/>
              <w:rPr>
                <w:rFonts w:ascii="宋体" w:hAnsi="宋体" w:eastAsia="宋体" w:cs="宋体"/>
                <w:color w:val="000000"/>
                <w:szCs w:val="21"/>
              </w:rPr>
            </w:pPr>
            <w:r>
              <w:rPr>
                <w:rFonts w:hint="eastAsia" w:ascii="宋体" w:hAnsi="宋体" w:eastAsia="宋体" w:cs="宋体"/>
                <w:color w:val="000000"/>
                <w:kern w:val="0"/>
                <w:szCs w:val="21"/>
              </w:rPr>
              <w:t>42</w:t>
            </w:r>
          </w:p>
        </w:tc>
        <w:tc>
          <w:tcPr>
            <w:tcW w:w="1724" w:type="dxa"/>
            <w:gridSpan w:val="2"/>
            <w:tcBorders>
              <w:tl2br w:val="nil"/>
              <w:tr2bl w:val="nil"/>
            </w:tcBorders>
            <w:shd w:val="clear" w:color="auto" w:fill="FFFFFF" w:themeFill="background1"/>
            <w:vAlign w:val="center"/>
          </w:tcPr>
          <w:p w14:paraId="25B7E357">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7.69</w:t>
            </w:r>
          </w:p>
        </w:tc>
      </w:tr>
      <w:tr w14:paraId="17D7E5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2B012949">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 xml:space="preserve">  1、公车运行维护费</w:t>
            </w:r>
          </w:p>
        </w:tc>
        <w:tc>
          <w:tcPr>
            <w:tcW w:w="2278" w:type="dxa"/>
            <w:gridSpan w:val="2"/>
            <w:tcBorders>
              <w:tl2br w:val="nil"/>
              <w:tr2bl w:val="nil"/>
            </w:tcBorders>
            <w:shd w:val="clear" w:color="auto" w:fill="FFFFFF" w:themeFill="background1"/>
            <w:vAlign w:val="center"/>
          </w:tcPr>
          <w:p w14:paraId="0D51D378">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15.00</w:t>
            </w:r>
          </w:p>
        </w:tc>
        <w:tc>
          <w:tcPr>
            <w:tcW w:w="2316" w:type="dxa"/>
            <w:gridSpan w:val="2"/>
            <w:tcBorders>
              <w:tl2br w:val="nil"/>
              <w:tr2bl w:val="nil"/>
            </w:tcBorders>
            <w:shd w:val="clear" w:color="auto" w:fill="FFFFFF" w:themeFill="background1"/>
            <w:vAlign w:val="center"/>
          </w:tcPr>
          <w:p w14:paraId="332A5904">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15</w:t>
            </w:r>
          </w:p>
        </w:tc>
        <w:tc>
          <w:tcPr>
            <w:tcW w:w="1724" w:type="dxa"/>
            <w:gridSpan w:val="2"/>
            <w:tcBorders>
              <w:tl2br w:val="nil"/>
              <w:tr2bl w:val="nil"/>
            </w:tcBorders>
            <w:shd w:val="clear" w:color="auto" w:fill="FFFFFF" w:themeFill="background1"/>
            <w:vAlign w:val="center"/>
          </w:tcPr>
          <w:p w14:paraId="2F29AD0C">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5.24</w:t>
            </w:r>
          </w:p>
        </w:tc>
      </w:tr>
      <w:tr w14:paraId="07D92C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62FC5A36">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 xml:space="preserve">    其中：公车购置</w:t>
            </w:r>
          </w:p>
        </w:tc>
        <w:tc>
          <w:tcPr>
            <w:tcW w:w="2278" w:type="dxa"/>
            <w:gridSpan w:val="2"/>
            <w:tcBorders>
              <w:tl2br w:val="nil"/>
              <w:tr2bl w:val="nil"/>
            </w:tcBorders>
            <w:shd w:val="clear" w:color="auto" w:fill="FFFFFF" w:themeFill="background1"/>
            <w:vAlign w:val="center"/>
          </w:tcPr>
          <w:p w14:paraId="23A045A1">
            <w:pPr>
              <w:jc w:val="center"/>
              <w:rPr>
                <w:rFonts w:ascii="宋体" w:hAnsi="宋体" w:eastAsia="宋体" w:cs="宋体"/>
                <w:color w:val="000000"/>
                <w:szCs w:val="21"/>
              </w:rPr>
            </w:pPr>
          </w:p>
        </w:tc>
        <w:tc>
          <w:tcPr>
            <w:tcW w:w="2316" w:type="dxa"/>
            <w:gridSpan w:val="2"/>
            <w:tcBorders>
              <w:tl2br w:val="nil"/>
              <w:tr2bl w:val="nil"/>
            </w:tcBorders>
            <w:shd w:val="clear" w:color="auto" w:fill="FFFFFF" w:themeFill="background1"/>
            <w:vAlign w:val="center"/>
          </w:tcPr>
          <w:p w14:paraId="57F0908E">
            <w:pPr>
              <w:jc w:val="center"/>
              <w:rPr>
                <w:rFonts w:ascii="宋体" w:hAnsi="宋体" w:eastAsia="宋体" w:cs="宋体"/>
                <w:color w:val="000000"/>
                <w:szCs w:val="21"/>
              </w:rPr>
            </w:pPr>
          </w:p>
        </w:tc>
        <w:tc>
          <w:tcPr>
            <w:tcW w:w="1724" w:type="dxa"/>
            <w:gridSpan w:val="2"/>
            <w:tcBorders>
              <w:tl2br w:val="nil"/>
              <w:tr2bl w:val="nil"/>
            </w:tcBorders>
            <w:shd w:val="clear" w:color="auto" w:fill="FFFFFF" w:themeFill="background1"/>
            <w:vAlign w:val="center"/>
          </w:tcPr>
          <w:p w14:paraId="75B3D388">
            <w:pPr>
              <w:jc w:val="center"/>
              <w:rPr>
                <w:rFonts w:ascii="宋体" w:hAnsi="宋体" w:eastAsia="宋体" w:cs="宋体"/>
                <w:color w:val="000000"/>
                <w:szCs w:val="21"/>
              </w:rPr>
            </w:pPr>
          </w:p>
        </w:tc>
      </w:tr>
      <w:tr w14:paraId="6E9F1E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25D634AE">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 xml:space="preserve">          公车运行维护</w:t>
            </w:r>
          </w:p>
        </w:tc>
        <w:tc>
          <w:tcPr>
            <w:tcW w:w="2278" w:type="dxa"/>
            <w:gridSpan w:val="2"/>
            <w:tcBorders>
              <w:tl2br w:val="nil"/>
              <w:tr2bl w:val="nil"/>
            </w:tcBorders>
            <w:shd w:val="clear" w:color="auto" w:fill="FFFFFF" w:themeFill="background1"/>
            <w:vAlign w:val="center"/>
          </w:tcPr>
          <w:p w14:paraId="5F44945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15</w:t>
            </w:r>
          </w:p>
        </w:tc>
        <w:tc>
          <w:tcPr>
            <w:tcW w:w="2316" w:type="dxa"/>
            <w:gridSpan w:val="2"/>
            <w:tcBorders>
              <w:tl2br w:val="nil"/>
              <w:tr2bl w:val="nil"/>
            </w:tcBorders>
            <w:shd w:val="clear" w:color="auto" w:fill="FFFFFF" w:themeFill="background1"/>
            <w:vAlign w:val="center"/>
          </w:tcPr>
          <w:p w14:paraId="4F2732CF">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15</w:t>
            </w:r>
          </w:p>
        </w:tc>
        <w:tc>
          <w:tcPr>
            <w:tcW w:w="1724" w:type="dxa"/>
            <w:gridSpan w:val="2"/>
            <w:tcBorders>
              <w:tl2br w:val="nil"/>
              <w:tr2bl w:val="nil"/>
            </w:tcBorders>
            <w:shd w:val="clear" w:color="auto" w:fill="FFFFFF" w:themeFill="background1"/>
            <w:vAlign w:val="center"/>
          </w:tcPr>
          <w:p w14:paraId="4C6A70B3">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5.24</w:t>
            </w:r>
          </w:p>
        </w:tc>
      </w:tr>
      <w:tr w14:paraId="4D71B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1D464FDB">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 xml:space="preserve">  2、出国经费</w:t>
            </w:r>
          </w:p>
        </w:tc>
        <w:tc>
          <w:tcPr>
            <w:tcW w:w="2278" w:type="dxa"/>
            <w:gridSpan w:val="2"/>
            <w:tcBorders>
              <w:tl2br w:val="nil"/>
              <w:tr2bl w:val="nil"/>
            </w:tcBorders>
            <w:shd w:val="clear" w:color="auto" w:fill="FFFFFF" w:themeFill="background1"/>
            <w:vAlign w:val="center"/>
          </w:tcPr>
          <w:p w14:paraId="0853FE64">
            <w:pPr>
              <w:jc w:val="center"/>
              <w:rPr>
                <w:rFonts w:ascii="宋体" w:hAnsi="宋体" w:eastAsia="宋体" w:cs="宋体"/>
                <w:color w:val="000000"/>
                <w:szCs w:val="21"/>
              </w:rPr>
            </w:pPr>
          </w:p>
        </w:tc>
        <w:tc>
          <w:tcPr>
            <w:tcW w:w="2316" w:type="dxa"/>
            <w:gridSpan w:val="2"/>
            <w:tcBorders>
              <w:tl2br w:val="nil"/>
              <w:tr2bl w:val="nil"/>
            </w:tcBorders>
            <w:shd w:val="clear" w:color="auto" w:fill="FFFFFF" w:themeFill="background1"/>
            <w:vAlign w:val="center"/>
          </w:tcPr>
          <w:p w14:paraId="2B25BDEC">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c>
          <w:tcPr>
            <w:tcW w:w="1724" w:type="dxa"/>
            <w:gridSpan w:val="2"/>
            <w:tcBorders>
              <w:tl2br w:val="nil"/>
              <w:tr2bl w:val="nil"/>
            </w:tcBorders>
            <w:shd w:val="clear" w:color="auto" w:fill="FFFFFF" w:themeFill="background1"/>
            <w:vAlign w:val="center"/>
          </w:tcPr>
          <w:p w14:paraId="2392A2F8">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w:t>
            </w:r>
          </w:p>
        </w:tc>
      </w:tr>
      <w:tr w14:paraId="0EDECA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4DB20AB7">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 xml:space="preserve">  3、公务接待</w:t>
            </w:r>
          </w:p>
        </w:tc>
        <w:tc>
          <w:tcPr>
            <w:tcW w:w="2278" w:type="dxa"/>
            <w:gridSpan w:val="2"/>
            <w:tcBorders>
              <w:tl2br w:val="nil"/>
              <w:tr2bl w:val="nil"/>
            </w:tcBorders>
            <w:shd w:val="clear" w:color="auto" w:fill="FFFFFF" w:themeFill="background1"/>
            <w:vAlign w:val="center"/>
          </w:tcPr>
          <w:p w14:paraId="33F0DB32">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21.56</w:t>
            </w:r>
          </w:p>
        </w:tc>
        <w:tc>
          <w:tcPr>
            <w:tcW w:w="2316" w:type="dxa"/>
            <w:gridSpan w:val="2"/>
            <w:tcBorders>
              <w:tl2br w:val="nil"/>
              <w:tr2bl w:val="nil"/>
            </w:tcBorders>
            <w:shd w:val="clear" w:color="auto" w:fill="FFFFFF" w:themeFill="background1"/>
            <w:vAlign w:val="center"/>
          </w:tcPr>
          <w:p w14:paraId="33E6F0E8">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27</w:t>
            </w:r>
          </w:p>
        </w:tc>
        <w:tc>
          <w:tcPr>
            <w:tcW w:w="1724" w:type="dxa"/>
            <w:gridSpan w:val="2"/>
            <w:tcBorders>
              <w:tl2br w:val="nil"/>
              <w:tr2bl w:val="nil"/>
            </w:tcBorders>
            <w:shd w:val="clear" w:color="auto" w:fill="FFFFFF" w:themeFill="background1"/>
            <w:vAlign w:val="center"/>
          </w:tcPr>
          <w:p w14:paraId="7F8EB603">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2.45</w:t>
            </w:r>
          </w:p>
        </w:tc>
      </w:tr>
      <w:tr w14:paraId="3D6566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00369B83">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项目支出：</w:t>
            </w:r>
          </w:p>
        </w:tc>
        <w:tc>
          <w:tcPr>
            <w:tcW w:w="2278" w:type="dxa"/>
            <w:gridSpan w:val="2"/>
            <w:tcBorders>
              <w:tl2br w:val="nil"/>
              <w:tr2bl w:val="nil"/>
            </w:tcBorders>
            <w:shd w:val="clear" w:color="auto" w:fill="FFFFFF" w:themeFill="background1"/>
            <w:vAlign w:val="center"/>
          </w:tcPr>
          <w:p w14:paraId="277329DF">
            <w:pPr>
              <w:jc w:val="center"/>
              <w:rPr>
                <w:rFonts w:ascii="宋体" w:hAnsi="宋体" w:eastAsia="宋体" w:cs="宋体"/>
                <w:color w:val="000000"/>
                <w:szCs w:val="21"/>
              </w:rPr>
            </w:pPr>
            <w:r>
              <w:rPr>
                <w:rFonts w:hint="eastAsia" w:ascii="宋体" w:hAnsi="宋体" w:eastAsia="宋体" w:cs="宋体"/>
                <w:color w:val="000000"/>
                <w:szCs w:val="21"/>
              </w:rPr>
              <w:t>429.66</w:t>
            </w:r>
          </w:p>
        </w:tc>
        <w:tc>
          <w:tcPr>
            <w:tcW w:w="2316" w:type="dxa"/>
            <w:gridSpan w:val="2"/>
            <w:tcBorders>
              <w:tl2br w:val="nil"/>
              <w:tr2bl w:val="nil"/>
            </w:tcBorders>
            <w:shd w:val="clear" w:color="auto" w:fill="FFFFFF" w:themeFill="background1"/>
            <w:vAlign w:val="center"/>
          </w:tcPr>
          <w:p w14:paraId="36ED2BCB">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325</w:t>
            </w:r>
          </w:p>
        </w:tc>
        <w:tc>
          <w:tcPr>
            <w:tcW w:w="1724" w:type="dxa"/>
            <w:gridSpan w:val="2"/>
            <w:tcBorders>
              <w:tl2br w:val="nil"/>
              <w:tr2bl w:val="nil"/>
            </w:tcBorders>
            <w:shd w:val="clear" w:color="auto" w:fill="FFFFFF" w:themeFill="background1"/>
            <w:vAlign w:val="center"/>
          </w:tcPr>
          <w:p w14:paraId="7A9FE420">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304.05</w:t>
            </w:r>
          </w:p>
        </w:tc>
      </w:tr>
      <w:tr w14:paraId="56A125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5C036F93">
            <w:pPr>
              <w:widowControl/>
              <w:textAlignment w:val="center"/>
              <w:rPr>
                <w:rFonts w:ascii="宋体" w:hAnsi="宋体" w:eastAsia="宋体" w:cs="宋体"/>
                <w:b/>
                <w:color w:val="000000"/>
                <w:sz w:val="22"/>
              </w:rPr>
            </w:pPr>
            <w:r>
              <w:rPr>
                <w:rFonts w:hint="eastAsia" w:ascii="宋体" w:hAnsi="宋体" w:eastAsia="宋体" w:cs="宋体"/>
                <w:color w:val="000000"/>
                <w:kern w:val="0"/>
                <w:sz w:val="18"/>
                <w:szCs w:val="18"/>
              </w:rPr>
              <w:t xml:space="preserve">    1、业务工作专项</w:t>
            </w:r>
          </w:p>
        </w:tc>
        <w:tc>
          <w:tcPr>
            <w:tcW w:w="2278" w:type="dxa"/>
            <w:gridSpan w:val="2"/>
            <w:tcBorders>
              <w:tl2br w:val="nil"/>
              <w:tr2bl w:val="nil"/>
            </w:tcBorders>
            <w:shd w:val="clear" w:color="auto" w:fill="FFFFFF" w:themeFill="background1"/>
            <w:vAlign w:val="center"/>
          </w:tcPr>
          <w:p w14:paraId="5263AC0E">
            <w:pPr>
              <w:widowControl/>
              <w:jc w:val="center"/>
              <w:textAlignment w:val="center"/>
              <w:rPr>
                <w:rFonts w:ascii="宋体" w:hAnsi="宋体" w:eastAsia="宋体" w:cs="宋体"/>
                <w:color w:val="000000"/>
                <w:szCs w:val="21"/>
              </w:rPr>
            </w:pPr>
            <w:r>
              <w:rPr>
                <w:rFonts w:hint="eastAsia" w:ascii="宋体" w:hAnsi="宋体" w:eastAsia="宋体" w:cs="宋体"/>
                <w:color w:val="000000"/>
                <w:szCs w:val="21"/>
              </w:rPr>
              <w:t>429.66</w:t>
            </w:r>
          </w:p>
        </w:tc>
        <w:tc>
          <w:tcPr>
            <w:tcW w:w="2316" w:type="dxa"/>
            <w:gridSpan w:val="2"/>
            <w:tcBorders>
              <w:tl2br w:val="nil"/>
              <w:tr2bl w:val="nil"/>
            </w:tcBorders>
            <w:shd w:val="clear" w:color="auto" w:fill="FFFFFF" w:themeFill="background1"/>
            <w:vAlign w:val="center"/>
          </w:tcPr>
          <w:p w14:paraId="33B61335">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325</w:t>
            </w:r>
          </w:p>
        </w:tc>
        <w:tc>
          <w:tcPr>
            <w:tcW w:w="1724" w:type="dxa"/>
            <w:gridSpan w:val="2"/>
            <w:tcBorders>
              <w:tl2br w:val="nil"/>
              <w:tr2bl w:val="nil"/>
            </w:tcBorders>
            <w:shd w:val="clear" w:color="auto" w:fill="FFFFFF" w:themeFill="background1"/>
            <w:vAlign w:val="center"/>
          </w:tcPr>
          <w:p w14:paraId="0AB65D6D">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304.05</w:t>
            </w:r>
          </w:p>
        </w:tc>
      </w:tr>
      <w:tr w14:paraId="54DEF5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1686C547">
            <w:pPr>
              <w:widowControl/>
              <w:textAlignment w:val="center"/>
              <w:rPr>
                <w:rFonts w:ascii="宋体" w:hAnsi="宋体" w:eastAsia="宋体" w:cs="宋体"/>
                <w:b/>
                <w:color w:val="000000"/>
                <w:sz w:val="22"/>
              </w:rPr>
            </w:pPr>
            <w:r>
              <w:rPr>
                <w:rFonts w:hint="eastAsia" w:ascii="宋体" w:hAnsi="宋体" w:eastAsia="宋体" w:cs="宋体"/>
                <w:color w:val="000000"/>
                <w:kern w:val="0"/>
                <w:sz w:val="18"/>
                <w:szCs w:val="18"/>
              </w:rPr>
              <w:t xml:space="preserve">    2、运行维护专项</w:t>
            </w:r>
          </w:p>
        </w:tc>
        <w:tc>
          <w:tcPr>
            <w:tcW w:w="2278" w:type="dxa"/>
            <w:gridSpan w:val="2"/>
            <w:tcBorders>
              <w:tl2br w:val="nil"/>
              <w:tr2bl w:val="nil"/>
            </w:tcBorders>
            <w:shd w:val="clear" w:color="auto" w:fill="FFFFFF" w:themeFill="background1"/>
            <w:vAlign w:val="center"/>
          </w:tcPr>
          <w:p w14:paraId="0737EEA8">
            <w:pPr>
              <w:jc w:val="center"/>
              <w:rPr>
                <w:rFonts w:ascii="宋体" w:hAnsi="宋体" w:eastAsia="宋体" w:cs="宋体"/>
                <w:color w:val="000000"/>
                <w:szCs w:val="21"/>
              </w:rPr>
            </w:pPr>
          </w:p>
        </w:tc>
        <w:tc>
          <w:tcPr>
            <w:tcW w:w="2316" w:type="dxa"/>
            <w:gridSpan w:val="2"/>
            <w:tcBorders>
              <w:tl2br w:val="nil"/>
              <w:tr2bl w:val="nil"/>
            </w:tcBorders>
            <w:shd w:val="clear" w:color="auto" w:fill="FFFFFF" w:themeFill="background1"/>
            <w:vAlign w:val="center"/>
          </w:tcPr>
          <w:p w14:paraId="5988D1A3">
            <w:pPr>
              <w:jc w:val="center"/>
              <w:rPr>
                <w:rFonts w:ascii="宋体" w:hAnsi="宋体" w:eastAsia="宋体" w:cs="宋体"/>
                <w:color w:val="000000"/>
                <w:szCs w:val="21"/>
              </w:rPr>
            </w:pPr>
          </w:p>
        </w:tc>
        <w:tc>
          <w:tcPr>
            <w:tcW w:w="1724" w:type="dxa"/>
            <w:gridSpan w:val="2"/>
            <w:tcBorders>
              <w:tl2br w:val="nil"/>
              <w:tr2bl w:val="nil"/>
            </w:tcBorders>
            <w:shd w:val="clear" w:color="auto" w:fill="FFFFFF" w:themeFill="background1"/>
            <w:vAlign w:val="center"/>
          </w:tcPr>
          <w:p w14:paraId="4983A365">
            <w:pPr>
              <w:jc w:val="center"/>
              <w:rPr>
                <w:rFonts w:ascii="宋体" w:hAnsi="宋体" w:eastAsia="宋体" w:cs="宋体"/>
                <w:color w:val="000000"/>
                <w:szCs w:val="21"/>
              </w:rPr>
            </w:pPr>
          </w:p>
        </w:tc>
      </w:tr>
      <w:tr w14:paraId="099E20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2AD1C839">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公用经费</w:t>
            </w:r>
          </w:p>
        </w:tc>
        <w:tc>
          <w:tcPr>
            <w:tcW w:w="2278" w:type="dxa"/>
            <w:gridSpan w:val="2"/>
            <w:tcBorders>
              <w:tl2br w:val="nil"/>
              <w:tr2bl w:val="nil"/>
            </w:tcBorders>
            <w:shd w:val="clear" w:color="auto" w:fill="FFFFFF" w:themeFill="background1"/>
            <w:vAlign w:val="center"/>
          </w:tcPr>
          <w:p w14:paraId="7F57ED6A">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82.62</w:t>
            </w:r>
          </w:p>
        </w:tc>
        <w:tc>
          <w:tcPr>
            <w:tcW w:w="2316" w:type="dxa"/>
            <w:gridSpan w:val="2"/>
            <w:tcBorders>
              <w:tl2br w:val="nil"/>
              <w:tr2bl w:val="nil"/>
            </w:tcBorders>
            <w:shd w:val="clear" w:color="auto" w:fill="FFFFFF" w:themeFill="background1"/>
            <w:vAlign w:val="center"/>
          </w:tcPr>
          <w:p w14:paraId="78E937BB">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99.3</w:t>
            </w:r>
          </w:p>
        </w:tc>
        <w:tc>
          <w:tcPr>
            <w:tcW w:w="1724" w:type="dxa"/>
            <w:gridSpan w:val="2"/>
            <w:tcBorders>
              <w:tl2br w:val="nil"/>
              <w:tr2bl w:val="nil"/>
            </w:tcBorders>
            <w:shd w:val="clear" w:color="auto" w:fill="FFFFFF" w:themeFill="background1"/>
            <w:vAlign w:val="center"/>
          </w:tcPr>
          <w:p w14:paraId="3B9A9157">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58.04</w:t>
            </w:r>
          </w:p>
        </w:tc>
      </w:tr>
      <w:tr w14:paraId="1D673E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395D5A72">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 xml:space="preserve">  其中：办公经费</w:t>
            </w:r>
          </w:p>
        </w:tc>
        <w:tc>
          <w:tcPr>
            <w:tcW w:w="2278" w:type="dxa"/>
            <w:gridSpan w:val="2"/>
            <w:tcBorders>
              <w:tl2br w:val="nil"/>
              <w:tr2bl w:val="nil"/>
            </w:tcBorders>
            <w:shd w:val="clear" w:color="auto" w:fill="FFFFFF" w:themeFill="background1"/>
            <w:vAlign w:val="center"/>
          </w:tcPr>
          <w:p w14:paraId="116D2AC7">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0.12</w:t>
            </w:r>
          </w:p>
        </w:tc>
        <w:tc>
          <w:tcPr>
            <w:tcW w:w="2316" w:type="dxa"/>
            <w:gridSpan w:val="2"/>
            <w:tcBorders>
              <w:tl2br w:val="nil"/>
              <w:tr2bl w:val="nil"/>
            </w:tcBorders>
            <w:shd w:val="clear" w:color="auto" w:fill="FFFFFF" w:themeFill="background1"/>
            <w:vAlign w:val="center"/>
          </w:tcPr>
          <w:p w14:paraId="7C93C94F">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45</w:t>
            </w:r>
          </w:p>
        </w:tc>
        <w:tc>
          <w:tcPr>
            <w:tcW w:w="1724" w:type="dxa"/>
            <w:gridSpan w:val="2"/>
            <w:tcBorders>
              <w:tl2br w:val="nil"/>
              <w:tr2bl w:val="nil"/>
            </w:tcBorders>
            <w:shd w:val="clear" w:color="auto" w:fill="FFFFFF" w:themeFill="background1"/>
            <w:vAlign w:val="center"/>
          </w:tcPr>
          <w:p w14:paraId="77E86B15">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0.07</w:t>
            </w:r>
          </w:p>
        </w:tc>
      </w:tr>
      <w:tr w14:paraId="41B9F4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576F42BB">
            <w:pPr>
              <w:widowControl/>
              <w:ind w:firstLine="840" w:firstLineChars="400"/>
              <w:textAlignment w:val="center"/>
              <w:rPr>
                <w:rFonts w:ascii="宋体" w:hAnsi="宋体" w:eastAsia="宋体" w:cs="宋体"/>
                <w:color w:val="000000"/>
                <w:szCs w:val="21"/>
              </w:rPr>
            </w:pPr>
            <w:r>
              <w:rPr>
                <w:rFonts w:hint="eastAsia" w:ascii="宋体" w:hAnsi="宋体" w:eastAsia="宋体" w:cs="宋体"/>
                <w:color w:val="000000"/>
                <w:kern w:val="0"/>
                <w:szCs w:val="21"/>
              </w:rPr>
              <w:t>差旅费</w:t>
            </w:r>
          </w:p>
        </w:tc>
        <w:tc>
          <w:tcPr>
            <w:tcW w:w="2278" w:type="dxa"/>
            <w:gridSpan w:val="2"/>
            <w:tcBorders>
              <w:tl2br w:val="nil"/>
              <w:tr2bl w:val="nil"/>
            </w:tcBorders>
            <w:shd w:val="clear" w:color="auto" w:fill="FFFFFF" w:themeFill="background1"/>
            <w:vAlign w:val="center"/>
          </w:tcPr>
          <w:p w14:paraId="44C4BA40">
            <w:pPr>
              <w:jc w:val="center"/>
              <w:rPr>
                <w:rFonts w:ascii="宋体" w:hAnsi="宋体" w:eastAsia="宋体" w:cs="宋体"/>
                <w:color w:val="000000"/>
                <w:szCs w:val="21"/>
              </w:rPr>
            </w:pPr>
          </w:p>
        </w:tc>
        <w:tc>
          <w:tcPr>
            <w:tcW w:w="2316" w:type="dxa"/>
            <w:gridSpan w:val="2"/>
            <w:tcBorders>
              <w:tl2br w:val="nil"/>
              <w:tr2bl w:val="nil"/>
            </w:tcBorders>
            <w:shd w:val="clear" w:color="auto" w:fill="FFFFFF" w:themeFill="background1"/>
            <w:vAlign w:val="center"/>
          </w:tcPr>
          <w:p w14:paraId="7C34AC03">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9</w:t>
            </w:r>
          </w:p>
        </w:tc>
        <w:tc>
          <w:tcPr>
            <w:tcW w:w="1724" w:type="dxa"/>
            <w:gridSpan w:val="2"/>
            <w:tcBorders>
              <w:tl2br w:val="nil"/>
              <w:tr2bl w:val="nil"/>
            </w:tcBorders>
            <w:shd w:val="clear" w:color="auto" w:fill="FFFFFF" w:themeFill="background1"/>
            <w:vAlign w:val="center"/>
          </w:tcPr>
          <w:p w14:paraId="3B01146B">
            <w:pPr>
              <w:jc w:val="center"/>
              <w:rPr>
                <w:rFonts w:ascii="宋体" w:hAnsi="宋体" w:eastAsia="宋体" w:cs="宋体"/>
                <w:color w:val="000000"/>
                <w:szCs w:val="21"/>
              </w:rPr>
            </w:pPr>
          </w:p>
        </w:tc>
      </w:tr>
      <w:tr w14:paraId="73DDFB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27A9D532">
            <w:pPr>
              <w:widowControl/>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公务接待费</w:t>
            </w:r>
          </w:p>
        </w:tc>
        <w:tc>
          <w:tcPr>
            <w:tcW w:w="2278" w:type="dxa"/>
            <w:gridSpan w:val="2"/>
            <w:tcBorders>
              <w:tl2br w:val="nil"/>
              <w:tr2bl w:val="nil"/>
            </w:tcBorders>
            <w:shd w:val="clear" w:color="auto" w:fill="FFFFFF" w:themeFill="background1"/>
            <w:vAlign w:val="center"/>
          </w:tcPr>
          <w:p w14:paraId="5B3F8D97">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6.74</w:t>
            </w:r>
          </w:p>
        </w:tc>
        <w:tc>
          <w:tcPr>
            <w:tcW w:w="2316" w:type="dxa"/>
            <w:gridSpan w:val="2"/>
            <w:tcBorders>
              <w:tl2br w:val="nil"/>
              <w:tr2bl w:val="nil"/>
            </w:tcBorders>
            <w:shd w:val="clear" w:color="auto" w:fill="FFFFFF" w:themeFill="background1"/>
            <w:vAlign w:val="center"/>
          </w:tcPr>
          <w:p w14:paraId="1D09C087">
            <w:pPr>
              <w:jc w:val="center"/>
              <w:rPr>
                <w:rFonts w:ascii="宋体" w:hAnsi="宋体" w:eastAsia="宋体" w:cs="宋体"/>
                <w:color w:val="000000"/>
                <w:szCs w:val="21"/>
              </w:rPr>
            </w:pPr>
          </w:p>
        </w:tc>
        <w:tc>
          <w:tcPr>
            <w:tcW w:w="1724" w:type="dxa"/>
            <w:gridSpan w:val="2"/>
            <w:tcBorders>
              <w:tl2br w:val="nil"/>
              <w:tr2bl w:val="nil"/>
            </w:tcBorders>
            <w:shd w:val="clear" w:color="auto" w:fill="FFFFFF" w:themeFill="background1"/>
            <w:vAlign w:val="center"/>
          </w:tcPr>
          <w:p w14:paraId="729640AD">
            <w:pPr>
              <w:jc w:val="center"/>
              <w:rPr>
                <w:rFonts w:ascii="宋体" w:hAnsi="宋体" w:eastAsia="宋体" w:cs="宋体"/>
                <w:color w:val="000000"/>
                <w:szCs w:val="21"/>
              </w:rPr>
            </w:pPr>
          </w:p>
        </w:tc>
      </w:tr>
      <w:tr w14:paraId="737CC0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0A14D7A7">
            <w:pPr>
              <w:widowControl/>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劳务费</w:t>
            </w:r>
          </w:p>
        </w:tc>
        <w:tc>
          <w:tcPr>
            <w:tcW w:w="2278" w:type="dxa"/>
            <w:gridSpan w:val="2"/>
            <w:tcBorders>
              <w:tl2br w:val="nil"/>
              <w:tr2bl w:val="nil"/>
            </w:tcBorders>
            <w:shd w:val="clear" w:color="auto" w:fill="FFFFFF" w:themeFill="background1"/>
            <w:vAlign w:val="center"/>
          </w:tcPr>
          <w:p w14:paraId="5C112018">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0.01</w:t>
            </w:r>
          </w:p>
        </w:tc>
        <w:tc>
          <w:tcPr>
            <w:tcW w:w="2316" w:type="dxa"/>
            <w:gridSpan w:val="2"/>
            <w:tcBorders>
              <w:tl2br w:val="nil"/>
              <w:tr2bl w:val="nil"/>
            </w:tcBorders>
            <w:shd w:val="clear" w:color="auto" w:fill="FFFFFF" w:themeFill="background1"/>
            <w:vAlign w:val="center"/>
          </w:tcPr>
          <w:p w14:paraId="500B0295">
            <w:pPr>
              <w:jc w:val="center"/>
              <w:rPr>
                <w:rFonts w:ascii="宋体" w:hAnsi="宋体" w:eastAsia="宋体" w:cs="宋体"/>
                <w:color w:val="000000"/>
                <w:szCs w:val="21"/>
              </w:rPr>
            </w:pPr>
          </w:p>
        </w:tc>
        <w:tc>
          <w:tcPr>
            <w:tcW w:w="1724" w:type="dxa"/>
            <w:gridSpan w:val="2"/>
            <w:tcBorders>
              <w:tl2br w:val="nil"/>
              <w:tr2bl w:val="nil"/>
            </w:tcBorders>
            <w:shd w:val="clear" w:color="auto" w:fill="FFFFFF" w:themeFill="background1"/>
            <w:vAlign w:val="center"/>
          </w:tcPr>
          <w:p w14:paraId="3EC834B5">
            <w:pPr>
              <w:jc w:val="center"/>
              <w:rPr>
                <w:rFonts w:ascii="宋体" w:hAnsi="宋体" w:eastAsia="宋体" w:cs="宋体"/>
                <w:color w:val="000000"/>
                <w:szCs w:val="21"/>
              </w:rPr>
            </w:pPr>
          </w:p>
        </w:tc>
      </w:tr>
      <w:tr w14:paraId="327C10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4D8BF79F">
            <w:pPr>
              <w:widowControl/>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委托业务费</w:t>
            </w:r>
          </w:p>
        </w:tc>
        <w:tc>
          <w:tcPr>
            <w:tcW w:w="2278" w:type="dxa"/>
            <w:gridSpan w:val="2"/>
            <w:tcBorders>
              <w:tl2br w:val="nil"/>
              <w:tr2bl w:val="nil"/>
            </w:tcBorders>
            <w:shd w:val="clear" w:color="auto" w:fill="FFFFFF" w:themeFill="background1"/>
            <w:vAlign w:val="center"/>
          </w:tcPr>
          <w:p w14:paraId="610A2C8B">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2.86</w:t>
            </w:r>
          </w:p>
        </w:tc>
        <w:tc>
          <w:tcPr>
            <w:tcW w:w="2316" w:type="dxa"/>
            <w:gridSpan w:val="2"/>
            <w:tcBorders>
              <w:tl2br w:val="nil"/>
              <w:tr2bl w:val="nil"/>
            </w:tcBorders>
            <w:shd w:val="clear" w:color="auto" w:fill="FFFFFF" w:themeFill="background1"/>
            <w:vAlign w:val="center"/>
          </w:tcPr>
          <w:p w14:paraId="29BC1CFA">
            <w:pPr>
              <w:jc w:val="center"/>
              <w:rPr>
                <w:rFonts w:ascii="宋体" w:hAnsi="宋体" w:eastAsia="宋体" w:cs="宋体"/>
                <w:color w:val="000000"/>
                <w:szCs w:val="21"/>
              </w:rPr>
            </w:pPr>
          </w:p>
        </w:tc>
        <w:tc>
          <w:tcPr>
            <w:tcW w:w="1724" w:type="dxa"/>
            <w:gridSpan w:val="2"/>
            <w:tcBorders>
              <w:tl2br w:val="nil"/>
              <w:tr2bl w:val="nil"/>
            </w:tcBorders>
            <w:shd w:val="clear" w:color="auto" w:fill="FFFFFF" w:themeFill="background1"/>
            <w:vAlign w:val="center"/>
          </w:tcPr>
          <w:p w14:paraId="2BAA2425">
            <w:pPr>
              <w:jc w:val="center"/>
              <w:rPr>
                <w:rFonts w:ascii="宋体" w:hAnsi="宋体" w:eastAsia="宋体" w:cs="宋体"/>
                <w:color w:val="000000"/>
                <w:szCs w:val="21"/>
              </w:rPr>
            </w:pPr>
          </w:p>
        </w:tc>
      </w:tr>
      <w:tr w14:paraId="3E9426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3DA5F61E">
            <w:pPr>
              <w:widowControl/>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工会经费</w:t>
            </w:r>
          </w:p>
        </w:tc>
        <w:tc>
          <w:tcPr>
            <w:tcW w:w="2278" w:type="dxa"/>
            <w:gridSpan w:val="2"/>
            <w:tcBorders>
              <w:tl2br w:val="nil"/>
              <w:tr2bl w:val="nil"/>
            </w:tcBorders>
            <w:shd w:val="clear" w:color="auto" w:fill="FFFFFF" w:themeFill="background1"/>
            <w:vAlign w:val="center"/>
          </w:tcPr>
          <w:p w14:paraId="6246069E">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2.19</w:t>
            </w:r>
          </w:p>
        </w:tc>
        <w:tc>
          <w:tcPr>
            <w:tcW w:w="2316" w:type="dxa"/>
            <w:gridSpan w:val="2"/>
            <w:tcBorders>
              <w:tl2br w:val="nil"/>
              <w:tr2bl w:val="nil"/>
            </w:tcBorders>
            <w:shd w:val="clear" w:color="auto" w:fill="FFFFFF" w:themeFill="background1"/>
            <w:vAlign w:val="center"/>
          </w:tcPr>
          <w:p w14:paraId="4E9A9C44">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2.72</w:t>
            </w:r>
          </w:p>
        </w:tc>
        <w:tc>
          <w:tcPr>
            <w:tcW w:w="1724" w:type="dxa"/>
            <w:gridSpan w:val="2"/>
            <w:tcBorders>
              <w:tl2br w:val="nil"/>
              <w:tr2bl w:val="nil"/>
            </w:tcBorders>
            <w:shd w:val="clear" w:color="auto" w:fill="FFFFFF" w:themeFill="background1"/>
            <w:vAlign w:val="center"/>
          </w:tcPr>
          <w:p w14:paraId="0DFFD23F">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2.72</w:t>
            </w:r>
          </w:p>
        </w:tc>
      </w:tr>
      <w:tr w14:paraId="3023C6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541EE8A2">
            <w:pPr>
              <w:widowControl/>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福利费</w:t>
            </w:r>
          </w:p>
        </w:tc>
        <w:tc>
          <w:tcPr>
            <w:tcW w:w="2278" w:type="dxa"/>
            <w:gridSpan w:val="2"/>
            <w:tcBorders>
              <w:tl2br w:val="nil"/>
              <w:tr2bl w:val="nil"/>
            </w:tcBorders>
            <w:shd w:val="clear" w:color="auto" w:fill="FFFFFF" w:themeFill="background1"/>
            <w:vAlign w:val="center"/>
          </w:tcPr>
          <w:p w14:paraId="3EF2E69E">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0.27</w:t>
            </w:r>
          </w:p>
        </w:tc>
        <w:tc>
          <w:tcPr>
            <w:tcW w:w="2316" w:type="dxa"/>
            <w:gridSpan w:val="2"/>
            <w:tcBorders>
              <w:tl2br w:val="nil"/>
              <w:tr2bl w:val="nil"/>
            </w:tcBorders>
            <w:shd w:val="clear" w:color="auto" w:fill="FFFFFF" w:themeFill="background1"/>
            <w:vAlign w:val="center"/>
          </w:tcPr>
          <w:p w14:paraId="4872B466">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0.58</w:t>
            </w:r>
          </w:p>
        </w:tc>
        <w:tc>
          <w:tcPr>
            <w:tcW w:w="1724" w:type="dxa"/>
            <w:gridSpan w:val="2"/>
            <w:tcBorders>
              <w:tl2br w:val="nil"/>
              <w:tr2bl w:val="nil"/>
            </w:tcBorders>
            <w:shd w:val="clear" w:color="auto" w:fill="FFFFFF" w:themeFill="background1"/>
            <w:vAlign w:val="center"/>
          </w:tcPr>
          <w:p w14:paraId="45387053">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0.58</w:t>
            </w:r>
          </w:p>
        </w:tc>
      </w:tr>
      <w:tr w14:paraId="0FC490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2FCAA241">
            <w:pPr>
              <w:widowControl/>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公务用车运行维护费</w:t>
            </w:r>
          </w:p>
        </w:tc>
        <w:tc>
          <w:tcPr>
            <w:tcW w:w="2278" w:type="dxa"/>
            <w:gridSpan w:val="2"/>
            <w:tcBorders>
              <w:tl2br w:val="nil"/>
              <w:tr2bl w:val="nil"/>
            </w:tcBorders>
            <w:shd w:val="clear" w:color="auto" w:fill="FFFFFF" w:themeFill="background1"/>
            <w:vAlign w:val="center"/>
          </w:tcPr>
          <w:p w14:paraId="60290281">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3.6</w:t>
            </w:r>
          </w:p>
        </w:tc>
        <w:tc>
          <w:tcPr>
            <w:tcW w:w="2316" w:type="dxa"/>
            <w:gridSpan w:val="2"/>
            <w:tcBorders>
              <w:tl2br w:val="nil"/>
              <w:tr2bl w:val="nil"/>
            </w:tcBorders>
            <w:shd w:val="clear" w:color="auto" w:fill="FFFFFF" w:themeFill="background1"/>
            <w:vAlign w:val="center"/>
          </w:tcPr>
          <w:p w14:paraId="0C9DAEF2">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15</w:t>
            </w:r>
          </w:p>
        </w:tc>
        <w:tc>
          <w:tcPr>
            <w:tcW w:w="1724" w:type="dxa"/>
            <w:gridSpan w:val="2"/>
            <w:tcBorders>
              <w:tl2br w:val="nil"/>
              <w:tr2bl w:val="nil"/>
            </w:tcBorders>
            <w:shd w:val="clear" w:color="auto" w:fill="FFFFFF" w:themeFill="background1"/>
            <w:vAlign w:val="center"/>
          </w:tcPr>
          <w:p w14:paraId="31AC230C">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2.45</w:t>
            </w:r>
          </w:p>
        </w:tc>
      </w:tr>
      <w:tr w14:paraId="4EE181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71008D17">
            <w:pPr>
              <w:widowControl/>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其他交通费用</w:t>
            </w:r>
          </w:p>
        </w:tc>
        <w:tc>
          <w:tcPr>
            <w:tcW w:w="2278" w:type="dxa"/>
            <w:gridSpan w:val="2"/>
            <w:tcBorders>
              <w:tl2br w:val="nil"/>
              <w:tr2bl w:val="nil"/>
            </w:tcBorders>
            <w:shd w:val="clear" w:color="auto" w:fill="FFFFFF" w:themeFill="background1"/>
            <w:vAlign w:val="center"/>
          </w:tcPr>
          <w:p w14:paraId="371BB10A">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24.86</w:t>
            </w:r>
          </w:p>
        </w:tc>
        <w:tc>
          <w:tcPr>
            <w:tcW w:w="2316" w:type="dxa"/>
            <w:gridSpan w:val="2"/>
            <w:tcBorders>
              <w:tl2br w:val="nil"/>
              <w:tr2bl w:val="nil"/>
            </w:tcBorders>
            <w:shd w:val="clear" w:color="auto" w:fill="FFFFFF" w:themeFill="background1"/>
            <w:vAlign w:val="center"/>
          </w:tcPr>
          <w:p w14:paraId="47E966E8">
            <w:pPr>
              <w:jc w:val="center"/>
              <w:rPr>
                <w:rFonts w:ascii="宋体" w:hAnsi="宋体" w:eastAsia="宋体" w:cs="宋体"/>
                <w:color w:val="000000"/>
                <w:szCs w:val="21"/>
              </w:rPr>
            </w:pPr>
          </w:p>
        </w:tc>
        <w:tc>
          <w:tcPr>
            <w:tcW w:w="1724" w:type="dxa"/>
            <w:gridSpan w:val="2"/>
            <w:tcBorders>
              <w:tl2br w:val="nil"/>
              <w:tr2bl w:val="nil"/>
            </w:tcBorders>
            <w:shd w:val="clear" w:color="auto" w:fill="FFFFFF" w:themeFill="background1"/>
            <w:vAlign w:val="center"/>
          </w:tcPr>
          <w:p w14:paraId="70902054">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27.25</w:t>
            </w:r>
          </w:p>
        </w:tc>
      </w:tr>
      <w:tr w14:paraId="235E2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5478E1D6">
            <w:pPr>
              <w:widowControl/>
              <w:ind w:firstLine="440" w:firstLineChars="200"/>
              <w:textAlignment w:val="center"/>
              <w:rPr>
                <w:rFonts w:ascii="宋体" w:hAnsi="宋体" w:eastAsia="宋体" w:cs="宋体"/>
                <w:color w:val="000000"/>
                <w:sz w:val="22"/>
              </w:rPr>
            </w:pPr>
            <w:r>
              <w:rPr>
                <w:rFonts w:hint="eastAsia" w:ascii="宋体" w:hAnsi="宋体" w:eastAsia="宋体" w:cs="宋体"/>
                <w:color w:val="000000"/>
                <w:kern w:val="0"/>
                <w:sz w:val="22"/>
              </w:rPr>
              <w:t>会议费、培训费</w:t>
            </w:r>
          </w:p>
        </w:tc>
        <w:tc>
          <w:tcPr>
            <w:tcW w:w="2278" w:type="dxa"/>
            <w:gridSpan w:val="2"/>
            <w:tcBorders>
              <w:tl2br w:val="nil"/>
              <w:tr2bl w:val="nil"/>
            </w:tcBorders>
            <w:shd w:val="clear" w:color="auto" w:fill="FFFFFF" w:themeFill="background1"/>
            <w:vAlign w:val="center"/>
          </w:tcPr>
          <w:p w14:paraId="70E3D23A">
            <w:pPr>
              <w:jc w:val="center"/>
              <w:rPr>
                <w:rFonts w:ascii="宋体" w:hAnsi="宋体" w:eastAsia="宋体" w:cs="宋体"/>
                <w:color w:val="000000"/>
                <w:szCs w:val="21"/>
              </w:rPr>
            </w:pPr>
          </w:p>
        </w:tc>
        <w:tc>
          <w:tcPr>
            <w:tcW w:w="2316" w:type="dxa"/>
            <w:gridSpan w:val="2"/>
            <w:tcBorders>
              <w:tl2br w:val="nil"/>
              <w:tr2bl w:val="nil"/>
            </w:tcBorders>
            <w:shd w:val="clear" w:color="auto" w:fill="FFFFFF" w:themeFill="background1"/>
            <w:vAlign w:val="center"/>
          </w:tcPr>
          <w:p w14:paraId="4C842EBE">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12</w:t>
            </w:r>
          </w:p>
        </w:tc>
        <w:tc>
          <w:tcPr>
            <w:tcW w:w="1724" w:type="dxa"/>
            <w:gridSpan w:val="2"/>
            <w:tcBorders>
              <w:tl2br w:val="nil"/>
              <w:tr2bl w:val="nil"/>
            </w:tcBorders>
            <w:shd w:val="clear" w:color="auto" w:fill="FFFFFF" w:themeFill="background1"/>
            <w:vAlign w:val="center"/>
          </w:tcPr>
          <w:p w14:paraId="4E19ADD0">
            <w:pPr>
              <w:jc w:val="center"/>
              <w:rPr>
                <w:rFonts w:ascii="宋体" w:hAnsi="宋体" w:eastAsia="宋体" w:cs="宋体"/>
                <w:color w:val="000000"/>
                <w:szCs w:val="21"/>
              </w:rPr>
            </w:pPr>
          </w:p>
        </w:tc>
      </w:tr>
      <w:tr w14:paraId="27D4D7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6A774369">
            <w:pPr>
              <w:widowControl/>
              <w:ind w:firstLine="400" w:firstLineChars="200"/>
              <w:textAlignment w:val="center"/>
              <w:rPr>
                <w:rFonts w:ascii="宋体" w:hAnsi="宋体" w:eastAsia="宋体" w:cs="宋体"/>
                <w:color w:val="000000"/>
                <w:kern w:val="0"/>
                <w:sz w:val="22"/>
              </w:rPr>
            </w:pPr>
            <w:r>
              <w:rPr>
                <w:rFonts w:hint="eastAsia" w:ascii="宋体" w:hAnsi="宋体" w:eastAsia="宋体" w:cs="宋体"/>
                <w:color w:val="000000"/>
                <w:kern w:val="0"/>
                <w:sz w:val="20"/>
                <w:szCs w:val="20"/>
              </w:rPr>
              <w:t xml:space="preserve">  维修(护)费</w:t>
            </w:r>
          </w:p>
        </w:tc>
        <w:tc>
          <w:tcPr>
            <w:tcW w:w="2278" w:type="dxa"/>
            <w:gridSpan w:val="2"/>
            <w:tcBorders>
              <w:tl2br w:val="nil"/>
              <w:tr2bl w:val="nil"/>
            </w:tcBorders>
            <w:shd w:val="clear" w:color="auto" w:fill="FFFFFF" w:themeFill="background1"/>
            <w:vAlign w:val="center"/>
          </w:tcPr>
          <w:p w14:paraId="71A453FA">
            <w:pPr>
              <w:jc w:val="center"/>
              <w:rPr>
                <w:rFonts w:ascii="宋体" w:hAnsi="宋体" w:eastAsia="宋体" w:cs="宋体"/>
                <w:color w:val="000000"/>
                <w:kern w:val="0"/>
                <w:szCs w:val="21"/>
              </w:rPr>
            </w:pPr>
          </w:p>
        </w:tc>
        <w:tc>
          <w:tcPr>
            <w:tcW w:w="2316" w:type="dxa"/>
            <w:gridSpan w:val="2"/>
            <w:tcBorders>
              <w:tl2br w:val="nil"/>
              <w:tr2bl w:val="nil"/>
            </w:tcBorders>
            <w:shd w:val="clear" w:color="auto" w:fill="FFFFFF" w:themeFill="background1"/>
            <w:vAlign w:val="center"/>
          </w:tcPr>
          <w:p w14:paraId="2E67ADCE">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1724" w:type="dxa"/>
            <w:gridSpan w:val="2"/>
            <w:tcBorders>
              <w:tl2br w:val="nil"/>
              <w:tr2bl w:val="nil"/>
            </w:tcBorders>
            <w:shd w:val="clear" w:color="auto" w:fill="FFFFFF" w:themeFill="background1"/>
            <w:vAlign w:val="center"/>
          </w:tcPr>
          <w:p w14:paraId="455CAF35">
            <w:pPr>
              <w:jc w:val="center"/>
              <w:rPr>
                <w:rFonts w:ascii="宋体" w:hAnsi="宋体" w:eastAsia="宋体" w:cs="宋体"/>
                <w:color w:val="000000"/>
                <w:kern w:val="0"/>
                <w:szCs w:val="21"/>
              </w:rPr>
            </w:pPr>
          </w:p>
        </w:tc>
      </w:tr>
      <w:tr w14:paraId="6F874D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2647D0FA">
            <w:pPr>
              <w:widowControl/>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其他商品和服务支出</w:t>
            </w:r>
          </w:p>
        </w:tc>
        <w:tc>
          <w:tcPr>
            <w:tcW w:w="2278" w:type="dxa"/>
            <w:gridSpan w:val="2"/>
            <w:tcBorders>
              <w:tl2br w:val="nil"/>
              <w:tr2bl w:val="nil"/>
            </w:tcBorders>
            <w:shd w:val="clear" w:color="auto" w:fill="FFFFFF" w:themeFill="background1"/>
            <w:vAlign w:val="center"/>
          </w:tcPr>
          <w:p w14:paraId="769C7919">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41.97</w:t>
            </w:r>
          </w:p>
        </w:tc>
        <w:tc>
          <w:tcPr>
            <w:tcW w:w="2316" w:type="dxa"/>
            <w:gridSpan w:val="2"/>
            <w:tcBorders>
              <w:tl2br w:val="nil"/>
              <w:tr2bl w:val="nil"/>
            </w:tcBorders>
            <w:shd w:val="clear" w:color="auto" w:fill="FFFFFF" w:themeFill="background1"/>
            <w:vAlign w:val="center"/>
          </w:tcPr>
          <w:p w14:paraId="5D7815F3">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10</w:t>
            </w:r>
          </w:p>
        </w:tc>
        <w:tc>
          <w:tcPr>
            <w:tcW w:w="1724" w:type="dxa"/>
            <w:gridSpan w:val="2"/>
            <w:tcBorders>
              <w:tl2br w:val="nil"/>
              <w:tr2bl w:val="nil"/>
            </w:tcBorders>
            <w:shd w:val="clear" w:color="auto" w:fill="FFFFFF" w:themeFill="background1"/>
            <w:vAlign w:val="center"/>
          </w:tcPr>
          <w:p w14:paraId="53356903">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24.97</w:t>
            </w:r>
          </w:p>
        </w:tc>
      </w:tr>
      <w:tr w14:paraId="14EF0B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409ABEDA">
            <w:pPr>
              <w:widowControl/>
              <w:textAlignment w:val="center"/>
              <w:rPr>
                <w:rFonts w:ascii="宋体" w:hAnsi="宋体" w:eastAsia="宋体" w:cs="宋体"/>
                <w:color w:val="000000"/>
                <w:kern w:val="0"/>
                <w:szCs w:val="21"/>
              </w:rPr>
            </w:pPr>
            <w:r>
              <w:rPr>
                <w:rFonts w:hint="eastAsia"/>
              </w:rPr>
              <w:t>政府采购金额</w:t>
            </w:r>
          </w:p>
        </w:tc>
        <w:tc>
          <w:tcPr>
            <w:tcW w:w="2278" w:type="dxa"/>
            <w:gridSpan w:val="2"/>
            <w:tcBorders>
              <w:tl2br w:val="nil"/>
              <w:tr2bl w:val="nil"/>
            </w:tcBorders>
            <w:shd w:val="clear" w:color="auto" w:fill="FFFFFF" w:themeFill="background1"/>
            <w:vAlign w:val="center"/>
          </w:tcPr>
          <w:p w14:paraId="2B49BD5A">
            <w:pPr>
              <w:widowControl/>
              <w:jc w:val="center"/>
              <w:textAlignment w:val="center"/>
              <w:rPr>
                <w:rFonts w:ascii="宋体" w:hAnsi="宋体" w:eastAsia="宋体" w:cs="宋体"/>
                <w:color w:val="000000"/>
                <w:kern w:val="0"/>
                <w:szCs w:val="21"/>
              </w:rPr>
            </w:pPr>
            <w:r>
              <w:rPr>
                <w:rFonts w:ascii="Times New Roman" w:hAnsi="Times New Roman" w:cs="Times New Roman"/>
                <w:color w:val="000000"/>
                <w:kern w:val="0"/>
                <w:sz w:val="18"/>
                <w:szCs w:val="18"/>
              </w:rPr>
              <w:t>——</w:t>
            </w:r>
          </w:p>
        </w:tc>
        <w:tc>
          <w:tcPr>
            <w:tcW w:w="2316" w:type="dxa"/>
            <w:gridSpan w:val="2"/>
            <w:tcBorders>
              <w:tl2br w:val="nil"/>
              <w:tr2bl w:val="nil"/>
            </w:tcBorders>
            <w:shd w:val="clear" w:color="auto" w:fill="FFFFFF" w:themeFill="background1"/>
            <w:vAlign w:val="center"/>
          </w:tcPr>
          <w:p w14:paraId="33E054FB">
            <w:pPr>
              <w:widowControl/>
              <w:jc w:val="center"/>
              <w:textAlignment w:val="center"/>
              <w:rPr>
                <w:rFonts w:ascii="宋体" w:hAnsi="宋体" w:eastAsia="宋体" w:cs="宋体"/>
                <w:color w:val="000000"/>
                <w:kern w:val="0"/>
                <w:szCs w:val="21"/>
              </w:rPr>
            </w:pPr>
          </w:p>
        </w:tc>
        <w:tc>
          <w:tcPr>
            <w:tcW w:w="1724" w:type="dxa"/>
            <w:gridSpan w:val="2"/>
            <w:tcBorders>
              <w:tl2br w:val="nil"/>
              <w:tr2bl w:val="nil"/>
            </w:tcBorders>
            <w:shd w:val="clear" w:color="auto" w:fill="FFFFFF" w:themeFill="background1"/>
            <w:vAlign w:val="center"/>
          </w:tcPr>
          <w:p w14:paraId="0A9256B0">
            <w:pPr>
              <w:jc w:val="center"/>
              <w:rPr>
                <w:rFonts w:ascii="宋体" w:hAnsi="宋体" w:eastAsia="宋体" w:cs="宋体"/>
                <w:color w:val="000000"/>
                <w:szCs w:val="21"/>
              </w:rPr>
            </w:pPr>
          </w:p>
        </w:tc>
      </w:tr>
      <w:tr w14:paraId="774754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tcBorders>
              <w:tl2br w:val="nil"/>
              <w:tr2bl w:val="nil"/>
            </w:tcBorders>
            <w:shd w:val="clear" w:color="auto" w:fill="FFFFFF" w:themeFill="background1"/>
            <w:vAlign w:val="center"/>
          </w:tcPr>
          <w:p w14:paraId="0FDF3A0B">
            <w:pPr>
              <w:widowControl/>
              <w:textAlignment w:val="center"/>
            </w:pPr>
            <w:r>
              <w:rPr>
                <w:rFonts w:hint="eastAsia"/>
              </w:rPr>
              <w:t>部门整体支出预算调整</w:t>
            </w:r>
          </w:p>
        </w:tc>
        <w:tc>
          <w:tcPr>
            <w:tcW w:w="2278" w:type="dxa"/>
            <w:gridSpan w:val="2"/>
            <w:tcBorders>
              <w:tl2br w:val="nil"/>
              <w:tr2bl w:val="nil"/>
            </w:tcBorders>
            <w:shd w:val="clear" w:color="auto" w:fill="FFFFFF" w:themeFill="background1"/>
            <w:vAlign w:val="center"/>
          </w:tcPr>
          <w:p w14:paraId="5A56FB28">
            <w:pPr>
              <w:widowControl/>
              <w:jc w:val="center"/>
              <w:textAlignment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w:t>
            </w:r>
          </w:p>
        </w:tc>
        <w:tc>
          <w:tcPr>
            <w:tcW w:w="2316" w:type="dxa"/>
            <w:gridSpan w:val="2"/>
            <w:tcBorders>
              <w:tl2br w:val="nil"/>
              <w:tr2bl w:val="nil"/>
            </w:tcBorders>
            <w:shd w:val="clear" w:color="auto" w:fill="FFFFFF" w:themeFill="background1"/>
            <w:vAlign w:val="center"/>
          </w:tcPr>
          <w:p w14:paraId="0B7818D9">
            <w:pPr>
              <w:widowControl/>
              <w:jc w:val="center"/>
              <w:textAlignment w:val="center"/>
              <w:rPr>
                <w:rFonts w:ascii="宋体" w:hAnsi="宋体" w:eastAsia="宋体" w:cs="宋体"/>
                <w:color w:val="000000"/>
                <w:kern w:val="0"/>
                <w:szCs w:val="21"/>
              </w:rPr>
            </w:pPr>
          </w:p>
        </w:tc>
        <w:tc>
          <w:tcPr>
            <w:tcW w:w="1724" w:type="dxa"/>
            <w:gridSpan w:val="2"/>
            <w:tcBorders>
              <w:tl2br w:val="nil"/>
              <w:tr2bl w:val="nil"/>
            </w:tcBorders>
            <w:shd w:val="clear" w:color="auto" w:fill="FFFFFF" w:themeFill="background1"/>
            <w:vAlign w:val="center"/>
          </w:tcPr>
          <w:p w14:paraId="4A12978C">
            <w:pPr>
              <w:jc w:val="center"/>
              <w:rPr>
                <w:rFonts w:ascii="宋体" w:hAnsi="宋体" w:eastAsia="宋体" w:cs="宋体"/>
                <w:color w:val="000000"/>
                <w:szCs w:val="21"/>
              </w:rPr>
            </w:pPr>
          </w:p>
        </w:tc>
      </w:tr>
      <w:tr w14:paraId="69F8A0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vMerge w:val="restart"/>
            <w:tcBorders>
              <w:tl2br w:val="nil"/>
              <w:tr2bl w:val="nil"/>
            </w:tcBorders>
            <w:shd w:val="clear" w:color="auto" w:fill="FFFFFF" w:themeFill="background1"/>
            <w:vAlign w:val="center"/>
          </w:tcPr>
          <w:p w14:paraId="6144AF26">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楼堂馆所控制情况</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（2018年完工项目）</w:t>
            </w:r>
          </w:p>
        </w:tc>
        <w:tc>
          <w:tcPr>
            <w:tcW w:w="1328" w:type="dxa"/>
            <w:tcBorders>
              <w:tl2br w:val="nil"/>
              <w:tr2bl w:val="nil"/>
            </w:tcBorders>
            <w:shd w:val="clear" w:color="auto" w:fill="FFFFFF" w:themeFill="background1"/>
            <w:vAlign w:val="center"/>
          </w:tcPr>
          <w:p w14:paraId="0A1AB97A">
            <w:pPr>
              <w:widowControl/>
              <w:jc w:val="center"/>
              <w:textAlignment w:val="center"/>
              <w:rPr>
                <w:rFonts w:ascii="宋体" w:hAnsi="宋体" w:eastAsia="宋体" w:cs="宋体"/>
                <w:b/>
                <w:color w:val="000000"/>
                <w:kern w:val="0"/>
                <w:sz w:val="18"/>
                <w:szCs w:val="18"/>
              </w:rPr>
            </w:pPr>
            <w:r>
              <w:rPr>
                <w:rFonts w:hint="eastAsia" w:ascii="宋体" w:hAnsi="宋体" w:eastAsia="宋体" w:cs="宋体"/>
                <w:b/>
                <w:color w:val="000000"/>
                <w:kern w:val="0"/>
                <w:sz w:val="18"/>
                <w:szCs w:val="18"/>
              </w:rPr>
              <w:t>批复规模</w:t>
            </w:r>
          </w:p>
          <w:p w14:paraId="450C6528">
            <w:pPr>
              <w:widowControl/>
              <w:jc w:val="center"/>
              <w:textAlignment w:val="center"/>
              <w:rPr>
                <w:rFonts w:ascii="宋体" w:hAnsi="宋体" w:eastAsia="宋体" w:cs="宋体"/>
                <w:color w:val="000000"/>
                <w:szCs w:val="21"/>
              </w:rPr>
            </w:pPr>
            <w:r>
              <w:rPr>
                <w:rFonts w:hint="eastAsia" w:ascii="宋体" w:hAnsi="宋体" w:eastAsia="宋体" w:cs="宋体"/>
                <w:b/>
                <w:color w:val="000000"/>
                <w:kern w:val="0"/>
                <w:sz w:val="18"/>
                <w:szCs w:val="18"/>
              </w:rPr>
              <w:t>（㎡）</w:t>
            </w:r>
          </w:p>
        </w:tc>
        <w:tc>
          <w:tcPr>
            <w:tcW w:w="950" w:type="dxa"/>
            <w:tcBorders>
              <w:tl2br w:val="nil"/>
              <w:tr2bl w:val="nil"/>
            </w:tcBorders>
            <w:shd w:val="clear" w:color="auto" w:fill="FFFFFF" w:themeFill="background1"/>
            <w:vAlign w:val="center"/>
          </w:tcPr>
          <w:p w14:paraId="57BC0A41">
            <w:pPr>
              <w:widowControl/>
              <w:jc w:val="center"/>
              <w:textAlignment w:val="center"/>
              <w:rPr>
                <w:rFonts w:ascii="宋体" w:hAnsi="宋体" w:eastAsia="宋体" w:cs="宋体"/>
                <w:color w:val="000000"/>
                <w:szCs w:val="21"/>
              </w:rPr>
            </w:pPr>
            <w:r>
              <w:rPr>
                <w:rFonts w:hint="eastAsia" w:ascii="宋体" w:hAnsi="宋体" w:eastAsia="宋体" w:cs="宋体"/>
                <w:b/>
                <w:color w:val="000000"/>
                <w:kern w:val="0"/>
                <w:sz w:val="18"/>
                <w:szCs w:val="18"/>
              </w:rPr>
              <w:t>实际规模（㎡</w:t>
            </w:r>
          </w:p>
        </w:tc>
        <w:tc>
          <w:tcPr>
            <w:tcW w:w="1283" w:type="dxa"/>
            <w:tcBorders>
              <w:tl2br w:val="nil"/>
              <w:tr2bl w:val="nil"/>
            </w:tcBorders>
            <w:shd w:val="clear" w:color="auto" w:fill="FFFFFF" w:themeFill="background1"/>
            <w:vAlign w:val="center"/>
          </w:tcPr>
          <w:p w14:paraId="59884ADB">
            <w:pPr>
              <w:widowControl/>
              <w:jc w:val="center"/>
              <w:textAlignment w:val="center"/>
              <w:rPr>
                <w:rFonts w:ascii="宋体" w:hAnsi="宋体" w:eastAsia="宋体" w:cs="宋体"/>
                <w:color w:val="000000"/>
                <w:szCs w:val="21"/>
              </w:rPr>
            </w:pPr>
            <w:r>
              <w:rPr>
                <w:rFonts w:hint="eastAsia" w:ascii="宋体" w:hAnsi="宋体" w:eastAsia="宋体" w:cs="宋体"/>
                <w:b/>
                <w:color w:val="000000"/>
                <w:kern w:val="0"/>
                <w:sz w:val="18"/>
                <w:szCs w:val="18"/>
              </w:rPr>
              <w:t>规模控制率</w:t>
            </w:r>
          </w:p>
        </w:tc>
        <w:tc>
          <w:tcPr>
            <w:tcW w:w="1033" w:type="dxa"/>
            <w:tcBorders>
              <w:tl2br w:val="nil"/>
              <w:tr2bl w:val="nil"/>
            </w:tcBorders>
            <w:shd w:val="clear" w:color="auto" w:fill="FFFFFF" w:themeFill="background1"/>
            <w:vAlign w:val="center"/>
          </w:tcPr>
          <w:p w14:paraId="6ED6D5A1">
            <w:pPr>
              <w:widowControl/>
              <w:jc w:val="center"/>
              <w:textAlignment w:val="center"/>
              <w:rPr>
                <w:rFonts w:ascii="宋体" w:hAnsi="宋体" w:eastAsia="宋体" w:cs="宋体"/>
                <w:b/>
                <w:color w:val="000000"/>
                <w:kern w:val="0"/>
                <w:sz w:val="18"/>
                <w:szCs w:val="18"/>
              </w:rPr>
            </w:pPr>
            <w:r>
              <w:rPr>
                <w:rFonts w:hint="eastAsia" w:ascii="宋体" w:hAnsi="宋体" w:eastAsia="宋体" w:cs="宋体"/>
                <w:b/>
                <w:color w:val="000000"/>
                <w:kern w:val="0"/>
                <w:sz w:val="18"/>
                <w:szCs w:val="18"/>
              </w:rPr>
              <w:t>预算投资</w:t>
            </w:r>
          </w:p>
          <w:p w14:paraId="32F51880">
            <w:pPr>
              <w:widowControl/>
              <w:jc w:val="center"/>
              <w:textAlignment w:val="center"/>
              <w:rPr>
                <w:rFonts w:ascii="宋体" w:hAnsi="宋体" w:eastAsia="宋体" w:cs="宋体"/>
                <w:color w:val="000000"/>
                <w:szCs w:val="21"/>
              </w:rPr>
            </w:pPr>
            <w:r>
              <w:rPr>
                <w:rFonts w:hint="eastAsia" w:ascii="宋体" w:hAnsi="宋体" w:eastAsia="宋体" w:cs="宋体"/>
                <w:b/>
                <w:color w:val="000000"/>
                <w:kern w:val="0"/>
                <w:sz w:val="18"/>
                <w:szCs w:val="18"/>
              </w:rPr>
              <w:t>（万元）</w:t>
            </w:r>
          </w:p>
        </w:tc>
        <w:tc>
          <w:tcPr>
            <w:tcW w:w="934" w:type="dxa"/>
            <w:tcBorders>
              <w:tl2br w:val="nil"/>
              <w:tr2bl w:val="nil"/>
            </w:tcBorders>
            <w:shd w:val="clear" w:color="auto" w:fill="FFFFFF" w:themeFill="background1"/>
            <w:vAlign w:val="center"/>
          </w:tcPr>
          <w:p w14:paraId="54255EF0">
            <w:pPr>
              <w:widowControl/>
              <w:jc w:val="center"/>
              <w:textAlignment w:val="center"/>
              <w:rPr>
                <w:rFonts w:ascii="宋体" w:hAnsi="宋体" w:eastAsia="宋体" w:cs="宋体"/>
                <w:color w:val="000000"/>
                <w:szCs w:val="21"/>
              </w:rPr>
            </w:pPr>
            <w:r>
              <w:rPr>
                <w:rFonts w:hint="eastAsia" w:ascii="宋体" w:hAnsi="宋体" w:eastAsia="宋体" w:cs="宋体"/>
                <w:b/>
                <w:color w:val="000000"/>
                <w:kern w:val="0"/>
                <w:sz w:val="18"/>
                <w:szCs w:val="18"/>
              </w:rPr>
              <w:t>实际投资（万元）</w:t>
            </w:r>
          </w:p>
        </w:tc>
        <w:tc>
          <w:tcPr>
            <w:tcW w:w="790" w:type="dxa"/>
            <w:tcBorders>
              <w:tl2br w:val="nil"/>
              <w:tr2bl w:val="nil"/>
            </w:tcBorders>
            <w:shd w:val="clear" w:color="auto" w:fill="FFFFFF" w:themeFill="background1"/>
            <w:vAlign w:val="center"/>
          </w:tcPr>
          <w:p w14:paraId="2DC9769B">
            <w:pPr>
              <w:widowControl/>
              <w:jc w:val="center"/>
              <w:textAlignment w:val="center"/>
              <w:rPr>
                <w:rFonts w:ascii="宋体" w:hAnsi="宋体" w:eastAsia="宋体" w:cs="宋体"/>
                <w:color w:val="000000"/>
                <w:szCs w:val="21"/>
              </w:rPr>
            </w:pPr>
            <w:r>
              <w:rPr>
                <w:rFonts w:hint="eastAsia" w:ascii="宋体" w:hAnsi="宋体" w:eastAsia="宋体" w:cs="宋体"/>
                <w:b/>
                <w:color w:val="000000"/>
                <w:kern w:val="0"/>
                <w:sz w:val="18"/>
                <w:szCs w:val="18"/>
              </w:rPr>
              <w:t>投资概算控制率</w:t>
            </w:r>
          </w:p>
        </w:tc>
      </w:tr>
      <w:tr w14:paraId="0655E3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40" w:hRule="atLeast"/>
        </w:trPr>
        <w:tc>
          <w:tcPr>
            <w:tcW w:w="2862" w:type="dxa"/>
            <w:vMerge w:val="continue"/>
            <w:tcBorders>
              <w:tl2br w:val="nil"/>
              <w:tr2bl w:val="nil"/>
            </w:tcBorders>
            <w:shd w:val="clear" w:color="auto" w:fill="FFFFFF" w:themeFill="background1"/>
            <w:vAlign w:val="center"/>
          </w:tcPr>
          <w:p w14:paraId="284D2A90">
            <w:pPr>
              <w:widowControl/>
              <w:textAlignment w:val="center"/>
              <w:rPr>
                <w:rFonts w:ascii="宋体" w:hAnsi="宋体" w:eastAsia="宋体" w:cs="宋体"/>
                <w:color w:val="000000"/>
                <w:kern w:val="0"/>
                <w:szCs w:val="21"/>
              </w:rPr>
            </w:pPr>
          </w:p>
        </w:tc>
        <w:tc>
          <w:tcPr>
            <w:tcW w:w="1328" w:type="dxa"/>
            <w:tcBorders>
              <w:tl2br w:val="nil"/>
              <w:tr2bl w:val="nil"/>
            </w:tcBorders>
            <w:shd w:val="clear" w:color="auto" w:fill="FFFFFF" w:themeFill="background1"/>
            <w:vAlign w:val="center"/>
          </w:tcPr>
          <w:p w14:paraId="2E143F2C">
            <w:pPr>
              <w:widowControl/>
              <w:jc w:val="center"/>
              <w:textAlignment w:val="center"/>
              <w:rPr>
                <w:rFonts w:ascii="宋体" w:hAnsi="宋体" w:eastAsia="宋体" w:cs="宋体"/>
                <w:color w:val="000000"/>
                <w:kern w:val="0"/>
                <w:szCs w:val="21"/>
              </w:rPr>
            </w:pPr>
          </w:p>
        </w:tc>
        <w:tc>
          <w:tcPr>
            <w:tcW w:w="950" w:type="dxa"/>
            <w:tcBorders>
              <w:tl2br w:val="nil"/>
              <w:tr2bl w:val="nil"/>
            </w:tcBorders>
            <w:shd w:val="clear" w:color="auto" w:fill="FFFFFF" w:themeFill="background1"/>
            <w:vAlign w:val="center"/>
          </w:tcPr>
          <w:p w14:paraId="260EAE7C">
            <w:pPr>
              <w:widowControl/>
              <w:jc w:val="center"/>
              <w:textAlignment w:val="center"/>
              <w:rPr>
                <w:rFonts w:ascii="宋体" w:hAnsi="宋体" w:eastAsia="宋体" w:cs="宋体"/>
                <w:color w:val="000000"/>
                <w:kern w:val="0"/>
                <w:szCs w:val="21"/>
              </w:rPr>
            </w:pPr>
          </w:p>
        </w:tc>
        <w:tc>
          <w:tcPr>
            <w:tcW w:w="1283" w:type="dxa"/>
            <w:tcBorders>
              <w:tl2br w:val="nil"/>
              <w:tr2bl w:val="nil"/>
            </w:tcBorders>
            <w:shd w:val="clear" w:color="auto" w:fill="FFFFFF" w:themeFill="background1"/>
            <w:vAlign w:val="center"/>
          </w:tcPr>
          <w:p w14:paraId="457C4B1D">
            <w:pPr>
              <w:widowControl/>
              <w:jc w:val="center"/>
              <w:textAlignment w:val="center"/>
              <w:rPr>
                <w:rFonts w:ascii="宋体" w:hAnsi="宋体" w:eastAsia="宋体" w:cs="宋体"/>
                <w:color w:val="000000"/>
                <w:kern w:val="0"/>
                <w:szCs w:val="21"/>
              </w:rPr>
            </w:pPr>
          </w:p>
        </w:tc>
        <w:tc>
          <w:tcPr>
            <w:tcW w:w="1033" w:type="dxa"/>
            <w:tcBorders>
              <w:tl2br w:val="nil"/>
              <w:tr2bl w:val="nil"/>
            </w:tcBorders>
            <w:shd w:val="clear" w:color="auto" w:fill="FFFFFF" w:themeFill="background1"/>
            <w:vAlign w:val="center"/>
          </w:tcPr>
          <w:p w14:paraId="42B48346">
            <w:pPr>
              <w:widowControl/>
              <w:jc w:val="center"/>
              <w:textAlignment w:val="center"/>
              <w:rPr>
                <w:rFonts w:ascii="宋体" w:hAnsi="宋体" w:eastAsia="宋体" w:cs="宋体"/>
                <w:color w:val="000000"/>
                <w:kern w:val="0"/>
                <w:szCs w:val="21"/>
              </w:rPr>
            </w:pPr>
          </w:p>
        </w:tc>
        <w:tc>
          <w:tcPr>
            <w:tcW w:w="934" w:type="dxa"/>
            <w:tcBorders>
              <w:tl2br w:val="nil"/>
              <w:tr2bl w:val="nil"/>
            </w:tcBorders>
            <w:shd w:val="clear" w:color="auto" w:fill="FFFFFF" w:themeFill="background1"/>
            <w:vAlign w:val="center"/>
          </w:tcPr>
          <w:p w14:paraId="05F44B6F">
            <w:pPr>
              <w:jc w:val="center"/>
              <w:rPr>
                <w:rFonts w:ascii="宋体" w:hAnsi="宋体" w:eastAsia="宋体" w:cs="宋体"/>
                <w:color w:val="000000"/>
                <w:szCs w:val="21"/>
              </w:rPr>
            </w:pPr>
          </w:p>
        </w:tc>
        <w:tc>
          <w:tcPr>
            <w:tcW w:w="790" w:type="dxa"/>
            <w:tcBorders>
              <w:tl2br w:val="nil"/>
              <w:tr2bl w:val="nil"/>
            </w:tcBorders>
            <w:shd w:val="clear" w:color="auto" w:fill="FFFFFF" w:themeFill="background1"/>
            <w:vAlign w:val="center"/>
          </w:tcPr>
          <w:p w14:paraId="6335B6C2">
            <w:pPr>
              <w:jc w:val="center"/>
              <w:rPr>
                <w:rFonts w:ascii="宋体" w:hAnsi="宋体" w:eastAsia="宋体" w:cs="宋体"/>
                <w:color w:val="000000"/>
                <w:szCs w:val="21"/>
              </w:rPr>
            </w:pPr>
          </w:p>
        </w:tc>
      </w:tr>
      <w:tr w14:paraId="3F543E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312" w:hRule="atLeast"/>
        </w:trPr>
        <w:tc>
          <w:tcPr>
            <w:tcW w:w="2862" w:type="dxa"/>
            <w:vMerge w:val="restart"/>
            <w:tcBorders>
              <w:tl2br w:val="nil"/>
              <w:tr2bl w:val="nil"/>
            </w:tcBorders>
            <w:shd w:val="clear" w:color="auto" w:fill="FFFFFF" w:themeFill="background1"/>
            <w:vAlign w:val="center"/>
          </w:tcPr>
          <w:p w14:paraId="5A968A79">
            <w:pPr>
              <w:widowControl/>
              <w:textAlignment w:val="center"/>
              <w:rPr>
                <w:rFonts w:ascii="宋体" w:hAnsi="宋体" w:eastAsia="宋体" w:cs="宋体"/>
                <w:color w:val="000000"/>
                <w:szCs w:val="21"/>
              </w:rPr>
            </w:pPr>
            <w:r>
              <w:rPr>
                <w:rFonts w:hint="eastAsia" w:ascii="宋体" w:hAnsi="宋体" w:eastAsia="宋体" w:cs="宋体"/>
                <w:color w:val="000000"/>
                <w:kern w:val="0"/>
                <w:szCs w:val="21"/>
              </w:rPr>
              <w:t>厉行节约保障措施</w:t>
            </w:r>
          </w:p>
        </w:tc>
        <w:tc>
          <w:tcPr>
            <w:tcW w:w="6318" w:type="dxa"/>
            <w:gridSpan w:val="6"/>
            <w:vMerge w:val="restart"/>
            <w:tcBorders>
              <w:tl2br w:val="nil"/>
              <w:tr2bl w:val="nil"/>
            </w:tcBorders>
            <w:shd w:val="clear" w:color="auto" w:fill="FFFFFF" w:themeFill="background1"/>
            <w:vAlign w:val="center"/>
          </w:tcPr>
          <w:p w14:paraId="1BE96497">
            <w:pPr>
              <w:rPr>
                <w:rFonts w:ascii="宋体" w:hAnsi="宋体" w:eastAsia="宋体" w:cs="宋体"/>
                <w:color w:val="000000"/>
                <w:szCs w:val="21"/>
              </w:rPr>
            </w:pPr>
            <w:r>
              <w:rPr>
                <w:rFonts w:hint="eastAsia" w:ascii="Times New Roman" w:hAnsi="Times New Roman" w:cs="宋体"/>
                <w:color w:val="000000"/>
                <w:kern w:val="0"/>
                <w:sz w:val="18"/>
                <w:szCs w:val="18"/>
              </w:rPr>
              <w:t>根据《中华人民共和国会计法》、《中华人民共和国预算法》等法律和市财政局有关财务规章的规定，政研室制订了《中共长沙市委政策研究室制度汇编》，对各处室经费报账作出明确要求；对资产的配置、处置、管理和清查进行了规范。针对“三公”经费的管理，分别制订了《市委政研室（改革办）经费和公务活动管理办法》，明确了相应原则和要求、开支范围、程序、办法及标准、审批权限等。上述制度规定基本得到执行。</w:t>
            </w:r>
          </w:p>
        </w:tc>
      </w:tr>
      <w:tr w14:paraId="1838F2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312" w:hRule="atLeast"/>
        </w:trPr>
        <w:tc>
          <w:tcPr>
            <w:tcW w:w="2862" w:type="dxa"/>
            <w:vMerge w:val="continue"/>
            <w:tcBorders>
              <w:tl2br w:val="nil"/>
              <w:tr2bl w:val="nil"/>
            </w:tcBorders>
            <w:shd w:val="clear" w:color="auto" w:fill="FFFFFF" w:themeFill="background1"/>
            <w:vAlign w:val="center"/>
          </w:tcPr>
          <w:p w14:paraId="6A28C482">
            <w:pPr>
              <w:rPr>
                <w:rFonts w:ascii="宋体" w:hAnsi="宋体" w:eastAsia="宋体" w:cs="宋体"/>
                <w:color w:val="000000"/>
                <w:szCs w:val="21"/>
              </w:rPr>
            </w:pPr>
          </w:p>
        </w:tc>
        <w:tc>
          <w:tcPr>
            <w:tcW w:w="6318" w:type="dxa"/>
            <w:gridSpan w:val="6"/>
            <w:vMerge w:val="continue"/>
            <w:tcBorders>
              <w:tl2br w:val="nil"/>
              <w:tr2bl w:val="nil"/>
            </w:tcBorders>
            <w:shd w:val="clear" w:color="auto" w:fill="FFFFFF" w:themeFill="background1"/>
            <w:vAlign w:val="center"/>
          </w:tcPr>
          <w:p w14:paraId="1F7E65B6">
            <w:pPr>
              <w:rPr>
                <w:rFonts w:ascii="宋体" w:hAnsi="宋体" w:eastAsia="宋体" w:cs="宋体"/>
                <w:color w:val="000000"/>
                <w:szCs w:val="21"/>
              </w:rPr>
            </w:pPr>
          </w:p>
        </w:tc>
      </w:tr>
      <w:tr w14:paraId="0B08C1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312" w:hRule="atLeast"/>
        </w:trPr>
        <w:tc>
          <w:tcPr>
            <w:tcW w:w="2862" w:type="dxa"/>
            <w:vMerge w:val="continue"/>
            <w:tcBorders>
              <w:tl2br w:val="nil"/>
              <w:tr2bl w:val="nil"/>
            </w:tcBorders>
            <w:shd w:val="clear" w:color="auto" w:fill="FFFFFF" w:themeFill="background1"/>
            <w:vAlign w:val="center"/>
          </w:tcPr>
          <w:p w14:paraId="53CF98CC">
            <w:pPr>
              <w:rPr>
                <w:rFonts w:ascii="宋体" w:hAnsi="宋体" w:eastAsia="宋体" w:cs="宋体"/>
                <w:color w:val="000000"/>
                <w:szCs w:val="21"/>
              </w:rPr>
            </w:pPr>
          </w:p>
        </w:tc>
        <w:tc>
          <w:tcPr>
            <w:tcW w:w="6318" w:type="dxa"/>
            <w:gridSpan w:val="6"/>
            <w:vMerge w:val="continue"/>
            <w:tcBorders>
              <w:tl2br w:val="nil"/>
              <w:tr2bl w:val="nil"/>
            </w:tcBorders>
            <w:shd w:val="clear" w:color="auto" w:fill="FFFFFF" w:themeFill="background1"/>
            <w:vAlign w:val="center"/>
          </w:tcPr>
          <w:p w14:paraId="4767F853">
            <w:pPr>
              <w:rPr>
                <w:rFonts w:ascii="宋体" w:hAnsi="宋体" w:eastAsia="宋体" w:cs="宋体"/>
                <w:color w:val="000000"/>
                <w:szCs w:val="21"/>
              </w:rPr>
            </w:pPr>
          </w:p>
        </w:tc>
      </w:tr>
      <w:tr w14:paraId="75E2A3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683" w:hRule="atLeast"/>
        </w:trPr>
        <w:tc>
          <w:tcPr>
            <w:tcW w:w="2862" w:type="dxa"/>
            <w:vMerge w:val="continue"/>
            <w:tcBorders>
              <w:tl2br w:val="nil"/>
              <w:tr2bl w:val="nil"/>
            </w:tcBorders>
            <w:shd w:val="clear" w:color="auto" w:fill="FFFFFF" w:themeFill="background1"/>
            <w:vAlign w:val="center"/>
          </w:tcPr>
          <w:p w14:paraId="78113E0A">
            <w:pPr>
              <w:rPr>
                <w:rFonts w:ascii="宋体" w:hAnsi="宋体" w:eastAsia="宋体" w:cs="宋体"/>
                <w:color w:val="000000"/>
                <w:szCs w:val="21"/>
              </w:rPr>
            </w:pPr>
          </w:p>
        </w:tc>
        <w:tc>
          <w:tcPr>
            <w:tcW w:w="6318" w:type="dxa"/>
            <w:gridSpan w:val="6"/>
            <w:vMerge w:val="continue"/>
            <w:tcBorders>
              <w:tl2br w:val="nil"/>
              <w:tr2bl w:val="nil"/>
            </w:tcBorders>
            <w:shd w:val="clear" w:color="auto" w:fill="FFFFFF" w:themeFill="background1"/>
            <w:vAlign w:val="center"/>
          </w:tcPr>
          <w:p w14:paraId="11CAA215">
            <w:pPr>
              <w:rPr>
                <w:rFonts w:ascii="宋体" w:hAnsi="宋体" w:eastAsia="宋体" w:cs="宋体"/>
                <w:color w:val="000000"/>
                <w:szCs w:val="21"/>
              </w:rPr>
            </w:pPr>
          </w:p>
        </w:tc>
      </w:tr>
    </w:tbl>
    <w:p w14:paraId="2B2B51F7">
      <w:pPr>
        <w:widowControl/>
        <w:jc w:val="right"/>
        <w:textAlignment w:val="center"/>
        <w:rPr>
          <w:rFonts w:ascii="宋体" w:hAnsi="宋体" w:eastAsia="宋体" w:cs="宋体"/>
          <w:kern w:val="0"/>
          <w:sz w:val="28"/>
          <w:szCs w:val="28"/>
        </w:rPr>
        <w:sectPr>
          <w:footerReference r:id="rId6" w:type="first"/>
          <w:footerReference r:id="rId5" w:type="default"/>
          <w:pgSz w:w="11906" w:h="16838"/>
          <w:pgMar w:top="1440" w:right="1797" w:bottom="1440" w:left="1797" w:header="851" w:footer="992" w:gutter="0"/>
          <w:pgNumType w:start="1"/>
          <w:cols w:space="425" w:num="1"/>
          <w:titlePg/>
          <w:docGrid w:type="linesAndChars" w:linePitch="312" w:charSpace="0"/>
        </w:sectPr>
      </w:pPr>
      <w:r>
        <w:rPr>
          <w:rFonts w:hint="eastAsia" w:ascii="宋体" w:hAnsi="宋体" w:eastAsia="宋体" w:cs="宋体"/>
          <w:kern w:val="0"/>
          <w:szCs w:val="21"/>
        </w:rPr>
        <w:t>单位：万元</w:t>
      </w:r>
    </w:p>
    <w:p w14:paraId="2CCABCF6">
      <w:pPr>
        <w:widowControl/>
        <w:spacing w:line="360" w:lineRule="auto"/>
        <w:jc w:val="left"/>
        <w:rPr>
          <w:rFonts w:ascii="宋体" w:hAnsi="宋体" w:eastAsia="宋体"/>
          <w:sz w:val="28"/>
          <w:szCs w:val="28"/>
        </w:rPr>
      </w:pPr>
    </w:p>
    <w:p w14:paraId="1E38FE2A">
      <w:pPr>
        <w:spacing w:line="360" w:lineRule="auto"/>
        <w:ind w:firstLine="560" w:firstLineChars="200"/>
        <w:rPr>
          <w:rFonts w:ascii="宋体" w:hAnsi="宋体" w:eastAsia="宋体"/>
          <w:sz w:val="28"/>
          <w:szCs w:val="28"/>
        </w:rPr>
      </w:pPr>
      <w:r>
        <w:rPr>
          <w:rFonts w:hint="eastAsia" w:ascii="宋体" w:hAnsi="宋体" w:eastAsia="宋体"/>
          <w:sz w:val="28"/>
          <w:szCs w:val="28"/>
        </w:rPr>
        <w:t>附表二                         部门整体支出绩效评价指标表</w:t>
      </w:r>
    </w:p>
    <w:tbl>
      <w:tblPr>
        <w:tblStyle w:val="17"/>
        <w:tblpPr w:leftFromText="180" w:rightFromText="180" w:vertAnchor="text" w:horzAnchor="page" w:tblpX="1431" w:tblpY="596"/>
        <w:tblOverlap w:val="never"/>
        <w:tblW w:w="13290"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Layout w:type="fixed"/>
        <w:tblCellMar>
          <w:top w:w="15" w:type="dxa"/>
          <w:left w:w="15" w:type="dxa"/>
          <w:bottom w:w="15" w:type="dxa"/>
          <w:right w:w="15" w:type="dxa"/>
        </w:tblCellMar>
      </w:tblPr>
      <w:tblGrid>
        <w:gridCol w:w="1079"/>
        <w:gridCol w:w="615"/>
        <w:gridCol w:w="1080"/>
        <w:gridCol w:w="746"/>
        <w:gridCol w:w="1970"/>
        <w:gridCol w:w="524"/>
        <w:gridCol w:w="6400"/>
        <w:gridCol w:w="876"/>
      </w:tblGrid>
      <w:tr w14:paraId="60493A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284" w:hRule="atLeast"/>
        </w:trPr>
        <w:tc>
          <w:tcPr>
            <w:tcW w:w="1079" w:type="dxa"/>
            <w:shd w:val="clear" w:color="auto" w:fill="FFFFFF" w:themeFill="background1"/>
            <w:vAlign w:val="center"/>
          </w:tcPr>
          <w:p w14:paraId="15DE9D45">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一级指标</w:t>
            </w:r>
          </w:p>
        </w:tc>
        <w:tc>
          <w:tcPr>
            <w:tcW w:w="615" w:type="dxa"/>
            <w:shd w:val="clear" w:color="auto" w:fill="FFFFFF" w:themeFill="background1"/>
            <w:vAlign w:val="center"/>
          </w:tcPr>
          <w:p w14:paraId="6DEB22F2">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分值</w:t>
            </w:r>
          </w:p>
        </w:tc>
        <w:tc>
          <w:tcPr>
            <w:tcW w:w="1080" w:type="dxa"/>
            <w:shd w:val="clear" w:color="auto" w:fill="FFFFFF" w:themeFill="background1"/>
            <w:vAlign w:val="center"/>
          </w:tcPr>
          <w:p w14:paraId="7D3CD070">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二级指标</w:t>
            </w:r>
          </w:p>
        </w:tc>
        <w:tc>
          <w:tcPr>
            <w:tcW w:w="746" w:type="dxa"/>
            <w:shd w:val="clear" w:color="auto" w:fill="FFFFFF" w:themeFill="background1"/>
            <w:vAlign w:val="center"/>
          </w:tcPr>
          <w:p w14:paraId="63983BDE">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分值</w:t>
            </w:r>
          </w:p>
        </w:tc>
        <w:tc>
          <w:tcPr>
            <w:tcW w:w="1970" w:type="dxa"/>
            <w:shd w:val="clear" w:color="auto" w:fill="FFFFFF" w:themeFill="background1"/>
            <w:vAlign w:val="center"/>
          </w:tcPr>
          <w:p w14:paraId="54450CBB">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三级指标</w:t>
            </w:r>
          </w:p>
        </w:tc>
        <w:tc>
          <w:tcPr>
            <w:tcW w:w="524" w:type="dxa"/>
            <w:shd w:val="clear" w:color="auto" w:fill="FFFFFF" w:themeFill="background1"/>
            <w:vAlign w:val="center"/>
          </w:tcPr>
          <w:p w14:paraId="5F1B15B4">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分值</w:t>
            </w:r>
          </w:p>
        </w:tc>
        <w:tc>
          <w:tcPr>
            <w:tcW w:w="6400" w:type="dxa"/>
            <w:shd w:val="clear" w:color="auto" w:fill="FFFFFF" w:themeFill="background1"/>
            <w:vAlign w:val="center"/>
          </w:tcPr>
          <w:p w14:paraId="1FE371C5">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评价标准</w:t>
            </w:r>
          </w:p>
        </w:tc>
        <w:tc>
          <w:tcPr>
            <w:tcW w:w="876" w:type="dxa"/>
            <w:shd w:val="clear" w:color="auto" w:fill="FFFFFF" w:themeFill="background1"/>
            <w:vAlign w:val="center"/>
          </w:tcPr>
          <w:p w14:paraId="69336101">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得分</w:t>
            </w:r>
          </w:p>
        </w:tc>
      </w:tr>
      <w:tr w14:paraId="3CE243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284" w:hRule="atLeast"/>
        </w:trPr>
        <w:tc>
          <w:tcPr>
            <w:tcW w:w="1079" w:type="dxa"/>
            <w:vMerge w:val="restart"/>
            <w:shd w:val="clear" w:color="auto" w:fill="FFFFFF" w:themeFill="background1"/>
            <w:vAlign w:val="center"/>
          </w:tcPr>
          <w:p w14:paraId="04A2B9A0">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收 入</w:t>
            </w:r>
          </w:p>
        </w:tc>
        <w:tc>
          <w:tcPr>
            <w:tcW w:w="615" w:type="dxa"/>
            <w:vMerge w:val="restart"/>
            <w:shd w:val="clear" w:color="auto" w:fill="FFFFFF" w:themeFill="background1"/>
            <w:vAlign w:val="center"/>
          </w:tcPr>
          <w:p w14:paraId="7F1363CD">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13</w:t>
            </w:r>
          </w:p>
        </w:tc>
        <w:tc>
          <w:tcPr>
            <w:tcW w:w="1080" w:type="dxa"/>
            <w:vMerge w:val="restart"/>
            <w:shd w:val="clear" w:color="auto" w:fill="FFFFFF" w:themeFill="background1"/>
            <w:vAlign w:val="center"/>
          </w:tcPr>
          <w:p w14:paraId="711323F8">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预算配置</w:t>
            </w:r>
          </w:p>
        </w:tc>
        <w:tc>
          <w:tcPr>
            <w:tcW w:w="746" w:type="dxa"/>
            <w:vMerge w:val="restart"/>
            <w:shd w:val="clear" w:color="auto" w:fill="FFFFFF" w:themeFill="background1"/>
            <w:vAlign w:val="center"/>
          </w:tcPr>
          <w:p w14:paraId="5F3B8DD7">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13</w:t>
            </w:r>
          </w:p>
        </w:tc>
        <w:tc>
          <w:tcPr>
            <w:tcW w:w="1970" w:type="dxa"/>
            <w:shd w:val="clear" w:color="auto" w:fill="FFFFFF" w:themeFill="background1"/>
            <w:vAlign w:val="center"/>
          </w:tcPr>
          <w:p w14:paraId="6FA12827">
            <w:pPr>
              <w:widowControl/>
              <w:jc w:val="left"/>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财政供养人员控制率</w:t>
            </w:r>
          </w:p>
        </w:tc>
        <w:tc>
          <w:tcPr>
            <w:tcW w:w="524" w:type="dxa"/>
            <w:shd w:val="clear" w:color="auto" w:fill="FFFFFF" w:themeFill="background1"/>
            <w:vAlign w:val="center"/>
          </w:tcPr>
          <w:p w14:paraId="4058092F">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5</w:t>
            </w:r>
          </w:p>
        </w:tc>
        <w:tc>
          <w:tcPr>
            <w:tcW w:w="6400" w:type="dxa"/>
            <w:shd w:val="clear" w:color="auto" w:fill="FFFFFF" w:themeFill="background1"/>
            <w:vAlign w:val="center"/>
          </w:tcPr>
          <w:p w14:paraId="0EF2BBF8">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以100%为标准。在职人员控制率≦100%，计5分；每超过一个百分点扣0.5分，扣完为止。</w:t>
            </w:r>
          </w:p>
        </w:tc>
        <w:tc>
          <w:tcPr>
            <w:tcW w:w="876" w:type="dxa"/>
            <w:shd w:val="clear" w:color="auto" w:fill="FFFFFF" w:themeFill="background1"/>
            <w:vAlign w:val="center"/>
          </w:tcPr>
          <w:p w14:paraId="5805577D">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5</w:t>
            </w:r>
          </w:p>
        </w:tc>
      </w:tr>
      <w:tr w14:paraId="24BDC4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72BA44D0">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732E831E">
            <w:pPr>
              <w:widowControl/>
              <w:jc w:val="center"/>
              <w:textAlignment w:val="center"/>
              <w:rPr>
                <w:rFonts w:cs="仿宋_GB2312" w:asciiTheme="minorEastAsia" w:hAnsiTheme="minorEastAsia"/>
                <w:color w:val="000000"/>
                <w:kern w:val="0"/>
                <w:szCs w:val="21"/>
              </w:rPr>
            </w:pPr>
          </w:p>
        </w:tc>
        <w:tc>
          <w:tcPr>
            <w:tcW w:w="1080" w:type="dxa"/>
            <w:vMerge w:val="continue"/>
            <w:shd w:val="clear" w:color="auto" w:fill="FFFFFF" w:themeFill="background1"/>
            <w:vAlign w:val="center"/>
          </w:tcPr>
          <w:p w14:paraId="232F25FF">
            <w:pPr>
              <w:widowControl/>
              <w:jc w:val="center"/>
              <w:textAlignment w:val="center"/>
              <w:rPr>
                <w:rFonts w:cs="仿宋_GB2312" w:asciiTheme="minorEastAsia" w:hAnsiTheme="minorEastAsia"/>
                <w:color w:val="000000"/>
                <w:kern w:val="0"/>
                <w:szCs w:val="21"/>
              </w:rPr>
            </w:pPr>
          </w:p>
        </w:tc>
        <w:tc>
          <w:tcPr>
            <w:tcW w:w="746" w:type="dxa"/>
            <w:vMerge w:val="continue"/>
            <w:shd w:val="clear" w:color="auto" w:fill="FFFFFF" w:themeFill="background1"/>
            <w:vAlign w:val="center"/>
          </w:tcPr>
          <w:p w14:paraId="2DD00812">
            <w:pPr>
              <w:widowControl/>
              <w:jc w:val="center"/>
              <w:textAlignment w:val="center"/>
              <w:rPr>
                <w:rFonts w:cs="仿宋_GB2312" w:asciiTheme="minorEastAsia" w:hAnsiTheme="minorEastAsia"/>
                <w:color w:val="000000"/>
                <w:kern w:val="0"/>
                <w:szCs w:val="21"/>
              </w:rPr>
            </w:pPr>
          </w:p>
        </w:tc>
        <w:tc>
          <w:tcPr>
            <w:tcW w:w="1970" w:type="dxa"/>
            <w:shd w:val="clear" w:color="auto" w:fill="FFFFFF" w:themeFill="background1"/>
            <w:vAlign w:val="center"/>
          </w:tcPr>
          <w:p w14:paraId="41204FAF">
            <w:pPr>
              <w:widowControl/>
              <w:jc w:val="left"/>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“三公经费”变动率</w:t>
            </w:r>
          </w:p>
        </w:tc>
        <w:tc>
          <w:tcPr>
            <w:tcW w:w="524" w:type="dxa"/>
            <w:shd w:val="clear" w:color="auto" w:fill="FFFFFF" w:themeFill="background1"/>
            <w:vAlign w:val="center"/>
          </w:tcPr>
          <w:p w14:paraId="6E2F9391">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8</w:t>
            </w:r>
          </w:p>
        </w:tc>
        <w:tc>
          <w:tcPr>
            <w:tcW w:w="6400" w:type="dxa"/>
            <w:shd w:val="clear" w:color="auto" w:fill="FFFFFF" w:themeFill="background1"/>
            <w:vAlign w:val="center"/>
          </w:tcPr>
          <w:p w14:paraId="79234D2E">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“三公经费”变动率≦0,计8分；“三公经费”＞0，每超过一个百分点扣0.8分，扣完为止。</w:t>
            </w:r>
          </w:p>
        </w:tc>
        <w:tc>
          <w:tcPr>
            <w:tcW w:w="876" w:type="dxa"/>
            <w:shd w:val="clear" w:color="auto" w:fill="FFFFFF" w:themeFill="background1"/>
            <w:vAlign w:val="center"/>
          </w:tcPr>
          <w:p w14:paraId="0CAF159F">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8</w:t>
            </w:r>
          </w:p>
        </w:tc>
      </w:tr>
      <w:tr w14:paraId="135723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284" w:hRule="atLeast"/>
        </w:trPr>
        <w:tc>
          <w:tcPr>
            <w:tcW w:w="1079" w:type="dxa"/>
            <w:vMerge w:val="restart"/>
            <w:shd w:val="clear" w:color="auto" w:fill="FFFFFF" w:themeFill="background1"/>
            <w:vAlign w:val="center"/>
          </w:tcPr>
          <w:p w14:paraId="2BA80A99">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过   程</w:t>
            </w:r>
          </w:p>
        </w:tc>
        <w:tc>
          <w:tcPr>
            <w:tcW w:w="615" w:type="dxa"/>
            <w:vMerge w:val="restart"/>
            <w:shd w:val="clear" w:color="auto" w:fill="FFFFFF" w:themeFill="background1"/>
            <w:vAlign w:val="center"/>
          </w:tcPr>
          <w:p w14:paraId="0733E88B">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61</w:t>
            </w:r>
          </w:p>
        </w:tc>
        <w:tc>
          <w:tcPr>
            <w:tcW w:w="1080" w:type="dxa"/>
            <w:vMerge w:val="restart"/>
            <w:shd w:val="clear" w:color="auto" w:fill="FFFFFF" w:themeFill="background1"/>
            <w:vAlign w:val="center"/>
          </w:tcPr>
          <w:p w14:paraId="1A3A6921">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预算执行</w:t>
            </w:r>
          </w:p>
        </w:tc>
        <w:tc>
          <w:tcPr>
            <w:tcW w:w="746" w:type="dxa"/>
            <w:vMerge w:val="restart"/>
            <w:shd w:val="clear" w:color="auto" w:fill="FFFFFF" w:themeFill="background1"/>
            <w:vAlign w:val="center"/>
          </w:tcPr>
          <w:p w14:paraId="2D8D10D8">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20</w:t>
            </w:r>
          </w:p>
        </w:tc>
        <w:tc>
          <w:tcPr>
            <w:tcW w:w="1970" w:type="dxa"/>
            <w:shd w:val="clear" w:color="auto" w:fill="FFFFFF" w:themeFill="background1"/>
            <w:vAlign w:val="center"/>
          </w:tcPr>
          <w:p w14:paraId="381A6FE3">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预算完成率</w:t>
            </w:r>
          </w:p>
        </w:tc>
        <w:tc>
          <w:tcPr>
            <w:tcW w:w="524" w:type="dxa"/>
            <w:shd w:val="clear" w:color="auto" w:fill="FFFFFF" w:themeFill="background1"/>
            <w:vAlign w:val="center"/>
          </w:tcPr>
          <w:p w14:paraId="107AEB11">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5</w:t>
            </w:r>
          </w:p>
        </w:tc>
        <w:tc>
          <w:tcPr>
            <w:tcW w:w="6400" w:type="dxa"/>
            <w:shd w:val="clear" w:color="auto" w:fill="FFFFFF" w:themeFill="background1"/>
            <w:vAlign w:val="center"/>
          </w:tcPr>
          <w:p w14:paraId="0A400E68">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100%计满分，每低于5%扣2分，扣完为止。</w:t>
            </w:r>
          </w:p>
        </w:tc>
        <w:tc>
          <w:tcPr>
            <w:tcW w:w="876" w:type="dxa"/>
            <w:shd w:val="clear" w:color="auto" w:fill="FFFFFF" w:themeFill="background1"/>
            <w:vAlign w:val="center"/>
          </w:tcPr>
          <w:p w14:paraId="1F28B7EE">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3.86</w:t>
            </w:r>
          </w:p>
        </w:tc>
      </w:tr>
      <w:tr w14:paraId="5752B1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5B9920E6">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4DBD90EC">
            <w:pPr>
              <w:widowControl/>
              <w:jc w:val="center"/>
              <w:textAlignment w:val="center"/>
              <w:rPr>
                <w:rFonts w:cs="仿宋_GB2312" w:asciiTheme="minorEastAsia" w:hAnsiTheme="minorEastAsia"/>
                <w:color w:val="000000"/>
                <w:kern w:val="0"/>
                <w:szCs w:val="21"/>
              </w:rPr>
            </w:pPr>
          </w:p>
        </w:tc>
        <w:tc>
          <w:tcPr>
            <w:tcW w:w="1080" w:type="dxa"/>
            <w:vMerge w:val="continue"/>
            <w:shd w:val="clear" w:color="auto" w:fill="FFFFFF" w:themeFill="background1"/>
            <w:vAlign w:val="center"/>
          </w:tcPr>
          <w:p w14:paraId="4A68A760">
            <w:pPr>
              <w:widowControl/>
              <w:jc w:val="center"/>
              <w:textAlignment w:val="center"/>
              <w:rPr>
                <w:rFonts w:cs="仿宋_GB2312" w:asciiTheme="minorEastAsia" w:hAnsiTheme="minorEastAsia"/>
                <w:color w:val="000000"/>
                <w:kern w:val="0"/>
                <w:szCs w:val="21"/>
              </w:rPr>
            </w:pPr>
          </w:p>
        </w:tc>
        <w:tc>
          <w:tcPr>
            <w:tcW w:w="746" w:type="dxa"/>
            <w:vMerge w:val="continue"/>
            <w:shd w:val="clear" w:color="auto" w:fill="FFFFFF" w:themeFill="background1"/>
            <w:vAlign w:val="center"/>
          </w:tcPr>
          <w:p w14:paraId="10D0BE59">
            <w:pPr>
              <w:widowControl/>
              <w:jc w:val="center"/>
              <w:textAlignment w:val="center"/>
              <w:rPr>
                <w:rFonts w:cs="仿宋_GB2312" w:asciiTheme="minorEastAsia" w:hAnsiTheme="minorEastAsia"/>
                <w:color w:val="000000"/>
                <w:kern w:val="0"/>
                <w:szCs w:val="21"/>
              </w:rPr>
            </w:pPr>
          </w:p>
        </w:tc>
        <w:tc>
          <w:tcPr>
            <w:tcW w:w="1970" w:type="dxa"/>
            <w:shd w:val="clear" w:color="auto" w:fill="FFFFFF" w:themeFill="background1"/>
            <w:vAlign w:val="center"/>
          </w:tcPr>
          <w:p w14:paraId="39A2EEE1">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预算控制率</w:t>
            </w:r>
          </w:p>
        </w:tc>
        <w:tc>
          <w:tcPr>
            <w:tcW w:w="524" w:type="dxa"/>
            <w:shd w:val="clear" w:color="auto" w:fill="FFFFFF" w:themeFill="background1"/>
            <w:vAlign w:val="center"/>
          </w:tcPr>
          <w:p w14:paraId="34599288">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5</w:t>
            </w:r>
          </w:p>
        </w:tc>
        <w:tc>
          <w:tcPr>
            <w:tcW w:w="6400" w:type="dxa"/>
            <w:shd w:val="clear" w:color="auto" w:fill="FFFFFF" w:themeFill="background1"/>
            <w:vAlign w:val="center"/>
          </w:tcPr>
          <w:p w14:paraId="1D5DB4BF">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预算控制率=0，计5分；0-10%（含），计4分；10-20%（含），计3分；20-30%（含），计2分；大于30%不得分。</w:t>
            </w:r>
          </w:p>
        </w:tc>
        <w:tc>
          <w:tcPr>
            <w:tcW w:w="876" w:type="dxa"/>
            <w:shd w:val="clear" w:color="auto" w:fill="FFFFFF" w:themeFill="background1"/>
            <w:vAlign w:val="center"/>
          </w:tcPr>
          <w:p w14:paraId="1F56FC28">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5</w:t>
            </w:r>
          </w:p>
        </w:tc>
      </w:tr>
      <w:tr w14:paraId="6013F3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7AF3AAFE">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0EA3E671">
            <w:pPr>
              <w:widowControl/>
              <w:jc w:val="center"/>
              <w:textAlignment w:val="center"/>
              <w:rPr>
                <w:rFonts w:cs="仿宋_GB2312" w:asciiTheme="minorEastAsia" w:hAnsiTheme="minorEastAsia"/>
                <w:color w:val="000000"/>
                <w:kern w:val="0"/>
                <w:szCs w:val="21"/>
              </w:rPr>
            </w:pPr>
          </w:p>
        </w:tc>
        <w:tc>
          <w:tcPr>
            <w:tcW w:w="1080" w:type="dxa"/>
            <w:vMerge w:val="continue"/>
            <w:shd w:val="clear" w:color="auto" w:fill="FFFFFF" w:themeFill="background1"/>
            <w:vAlign w:val="center"/>
          </w:tcPr>
          <w:p w14:paraId="0BCA3585">
            <w:pPr>
              <w:widowControl/>
              <w:jc w:val="center"/>
              <w:textAlignment w:val="center"/>
              <w:rPr>
                <w:rFonts w:cs="仿宋_GB2312" w:asciiTheme="minorEastAsia" w:hAnsiTheme="minorEastAsia"/>
                <w:color w:val="000000"/>
                <w:kern w:val="0"/>
                <w:szCs w:val="21"/>
              </w:rPr>
            </w:pPr>
          </w:p>
        </w:tc>
        <w:tc>
          <w:tcPr>
            <w:tcW w:w="746" w:type="dxa"/>
            <w:vMerge w:val="continue"/>
            <w:shd w:val="clear" w:color="auto" w:fill="FFFFFF" w:themeFill="background1"/>
            <w:vAlign w:val="center"/>
          </w:tcPr>
          <w:p w14:paraId="4C5F9101">
            <w:pPr>
              <w:widowControl/>
              <w:jc w:val="center"/>
              <w:textAlignment w:val="center"/>
              <w:rPr>
                <w:rFonts w:cs="仿宋_GB2312" w:asciiTheme="minorEastAsia" w:hAnsiTheme="minorEastAsia"/>
                <w:color w:val="000000"/>
                <w:kern w:val="0"/>
                <w:szCs w:val="21"/>
              </w:rPr>
            </w:pPr>
          </w:p>
        </w:tc>
        <w:tc>
          <w:tcPr>
            <w:tcW w:w="1970" w:type="dxa"/>
            <w:shd w:val="clear" w:color="auto" w:fill="FFFFFF" w:themeFill="background1"/>
            <w:vAlign w:val="center"/>
          </w:tcPr>
          <w:p w14:paraId="1E081129">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新建楼堂馆所面积控制率</w:t>
            </w:r>
          </w:p>
        </w:tc>
        <w:tc>
          <w:tcPr>
            <w:tcW w:w="524" w:type="dxa"/>
            <w:shd w:val="clear" w:color="auto" w:fill="FFFFFF" w:themeFill="background1"/>
            <w:vAlign w:val="center"/>
          </w:tcPr>
          <w:p w14:paraId="4D273F47">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5</w:t>
            </w:r>
          </w:p>
        </w:tc>
        <w:tc>
          <w:tcPr>
            <w:tcW w:w="6400" w:type="dxa"/>
            <w:shd w:val="clear" w:color="auto" w:fill="FFFFFF" w:themeFill="background1"/>
            <w:vAlign w:val="center"/>
          </w:tcPr>
          <w:p w14:paraId="2F97B97F">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100%以下（含）计满分，每超出5%扣2分，扣完为止。没有楼堂馆所项目的部门按满分计算。</w:t>
            </w:r>
          </w:p>
        </w:tc>
        <w:tc>
          <w:tcPr>
            <w:tcW w:w="876" w:type="dxa"/>
            <w:shd w:val="clear" w:color="auto" w:fill="FFFFFF" w:themeFill="background1"/>
            <w:vAlign w:val="center"/>
          </w:tcPr>
          <w:p w14:paraId="31604A08">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5</w:t>
            </w:r>
          </w:p>
        </w:tc>
      </w:tr>
      <w:tr w14:paraId="7F633D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1DD593AB">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75D54780">
            <w:pPr>
              <w:widowControl/>
              <w:jc w:val="center"/>
              <w:textAlignment w:val="center"/>
              <w:rPr>
                <w:rFonts w:cs="仿宋_GB2312" w:asciiTheme="minorEastAsia" w:hAnsiTheme="minorEastAsia"/>
                <w:color w:val="000000"/>
                <w:kern w:val="0"/>
                <w:szCs w:val="21"/>
              </w:rPr>
            </w:pPr>
          </w:p>
        </w:tc>
        <w:tc>
          <w:tcPr>
            <w:tcW w:w="1080" w:type="dxa"/>
            <w:vMerge w:val="continue"/>
            <w:shd w:val="clear" w:color="auto" w:fill="FFFFFF" w:themeFill="background1"/>
            <w:vAlign w:val="center"/>
          </w:tcPr>
          <w:p w14:paraId="45C67171">
            <w:pPr>
              <w:widowControl/>
              <w:jc w:val="center"/>
              <w:textAlignment w:val="center"/>
              <w:rPr>
                <w:rFonts w:cs="仿宋_GB2312" w:asciiTheme="minorEastAsia" w:hAnsiTheme="minorEastAsia"/>
                <w:color w:val="000000"/>
                <w:kern w:val="0"/>
                <w:szCs w:val="21"/>
              </w:rPr>
            </w:pPr>
          </w:p>
        </w:tc>
        <w:tc>
          <w:tcPr>
            <w:tcW w:w="746" w:type="dxa"/>
            <w:vMerge w:val="continue"/>
            <w:shd w:val="clear" w:color="auto" w:fill="FFFFFF" w:themeFill="background1"/>
            <w:vAlign w:val="center"/>
          </w:tcPr>
          <w:p w14:paraId="258EA13A">
            <w:pPr>
              <w:widowControl/>
              <w:jc w:val="center"/>
              <w:textAlignment w:val="center"/>
              <w:rPr>
                <w:rFonts w:cs="仿宋_GB2312" w:asciiTheme="minorEastAsia" w:hAnsiTheme="minorEastAsia"/>
                <w:color w:val="000000"/>
                <w:kern w:val="0"/>
                <w:szCs w:val="21"/>
              </w:rPr>
            </w:pPr>
          </w:p>
        </w:tc>
        <w:tc>
          <w:tcPr>
            <w:tcW w:w="1970" w:type="dxa"/>
            <w:shd w:val="clear" w:color="auto" w:fill="FFFFFF" w:themeFill="background1"/>
            <w:vAlign w:val="center"/>
          </w:tcPr>
          <w:p w14:paraId="1464967B">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新建楼堂馆所投资概算控制率</w:t>
            </w:r>
          </w:p>
        </w:tc>
        <w:tc>
          <w:tcPr>
            <w:tcW w:w="524" w:type="dxa"/>
            <w:shd w:val="clear" w:color="auto" w:fill="FFFFFF" w:themeFill="background1"/>
            <w:vAlign w:val="center"/>
          </w:tcPr>
          <w:p w14:paraId="3F082776">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5</w:t>
            </w:r>
          </w:p>
        </w:tc>
        <w:tc>
          <w:tcPr>
            <w:tcW w:w="6400" w:type="dxa"/>
            <w:shd w:val="clear" w:color="auto" w:fill="FFFFFF" w:themeFill="background1"/>
            <w:vAlign w:val="center"/>
          </w:tcPr>
          <w:p w14:paraId="7F11DE03">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100%以下（含）计满分，每超出5%扣2分，扣完为止。</w:t>
            </w:r>
          </w:p>
        </w:tc>
        <w:tc>
          <w:tcPr>
            <w:tcW w:w="876" w:type="dxa"/>
            <w:shd w:val="clear" w:color="auto" w:fill="FFFFFF" w:themeFill="background1"/>
            <w:vAlign w:val="center"/>
          </w:tcPr>
          <w:p w14:paraId="43AEC4A0">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5</w:t>
            </w:r>
          </w:p>
        </w:tc>
      </w:tr>
      <w:tr w14:paraId="3D220F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51919748">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1520A9DA">
            <w:pPr>
              <w:widowControl/>
              <w:jc w:val="center"/>
              <w:textAlignment w:val="center"/>
              <w:rPr>
                <w:rFonts w:cs="仿宋_GB2312" w:asciiTheme="minorEastAsia" w:hAnsiTheme="minorEastAsia"/>
                <w:color w:val="000000"/>
                <w:kern w:val="0"/>
                <w:szCs w:val="21"/>
              </w:rPr>
            </w:pPr>
          </w:p>
        </w:tc>
        <w:tc>
          <w:tcPr>
            <w:tcW w:w="1080" w:type="dxa"/>
            <w:vMerge w:val="restart"/>
            <w:shd w:val="clear" w:color="auto" w:fill="FFFFFF" w:themeFill="background1"/>
            <w:vAlign w:val="center"/>
          </w:tcPr>
          <w:p w14:paraId="3CF73DFD">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预算管理</w:t>
            </w:r>
          </w:p>
        </w:tc>
        <w:tc>
          <w:tcPr>
            <w:tcW w:w="746" w:type="dxa"/>
            <w:vMerge w:val="restart"/>
            <w:shd w:val="clear" w:color="auto" w:fill="FFFFFF" w:themeFill="background1"/>
            <w:vAlign w:val="center"/>
          </w:tcPr>
          <w:p w14:paraId="17FCFE36">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22</w:t>
            </w:r>
          </w:p>
        </w:tc>
        <w:tc>
          <w:tcPr>
            <w:tcW w:w="1970" w:type="dxa"/>
            <w:shd w:val="clear" w:color="auto" w:fill="FFFFFF" w:themeFill="background1"/>
            <w:vAlign w:val="center"/>
          </w:tcPr>
          <w:p w14:paraId="78FA45CE">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公用经费控制率</w:t>
            </w:r>
          </w:p>
        </w:tc>
        <w:tc>
          <w:tcPr>
            <w:tcW w:w="524" w:type="dxa"/>
            <w:shd w:val="clear" w:color="auto" w:fill="FFFFFF" w:themeFill="background1"/>
            <w:vAlign w:val="center"/>
          </w:tcPr>
          <w:p w14:paraId="3DC22BA2">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8</w:t>
            </w:r>
          </w:p>
        </w:tc>
        <w:tc>
          <w:tcPr>
            <w:tcW w:w="6400" w:type="dxa"/>
            <w:shd w:val="clear" w:color="auto" w:fill="FFFFFF" w:themeFill="background1"/>
            <w:vAlign w:val="center"/>
          </w:tcPr>
          <w:p w14:paraId="5E8DAF91">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100%以下（含）计满分，每超出1%扣1分，扣完为止。</w:t>
            </w:r>
          </w:p>
        </w:tc>
        <w:tc>
          <w:tcPr>
            <w:tcW w:w="876" w:type="dxa"/>
            <w:shd w:val="clear" w:color="auto" w:fill="FFFFFF" w:themeFill="background1"/>
            <w:vAlign w:val="center"/>
          </w:tcPr>
          <w:p w14:paraId="360EA841">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8</w:t>
            </w:r>
          </w:p>
        </w:tc>
      </w:tr>
      <w:tr w14:paraId="729F96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0F1FED61">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5A11E8FC">
            <w:pPr>
              <w:widowControl/>
              <w:jc w:val="center"/>
              <w:textAlignment w:val="center"/>
              <w:rPr>
                <w:rFonts w:cs="仿宋_GB2312" w:asciiTheme="minorEastAsia" w:hAnsiTheme="minorEastAsia"/>
                <w:color w:val="000000"/>
                <w:kern w:val="0"/>
                <w:szCs w:val="21"/>
              </w:rPr>
            </w:pPr>
          </w:p>
        </w:tc>
        <w:tc>
          <w:tcPr>
            <w:tcW w:w="1080" w:type="dxa"/>
            <w:vMerge w:val="continue"/>
            <w:shd w:val="clear" w:color="auto" w:fill="FFFFFF" w:themeFill="background1"/>
            <w:vAlign w:val="center"/>
          </w:tcPr>
          <w:p w14:paraId="13110FA5">
            <w:pPr>
              <w:widowControl/>
              <w:jc w:val="center"/>
              <w:textAlignment w:val="center"/>
              <w:rPr>
                <w:rFonts w:cs="仿宋_GB2312" w:asciiTheme="minorEastAsia" w:hAnsiTheme="minorEastAsia"/>
                <w:color w:val="000000"/>
                <w:kern w:val="0"/>
                <w:szCs w:val="21"/>
              </w:rPr>
            </w:pPr>
          </w:p>
        </w:tc>
        <w:tc>
          <w:tcPr>
            <w:tcW w:w="746" w:type="dxa"/>
            <w:vMerge w:val="continue"/>
            <w:shd w:val="clear" w:color="auto" w:fill="FFFFFF" w:themeFill="background1"/>
            <w:vAlign w:val="center"/>
          </w:tcPr>
          <w:p w14:paraId="50A9CB90">
            <w:pPr>
              <w:widowControl/>
              <w:jc w:val="center"/>
              <w:textAlignment w:val="center"/>
              <w:rPr>
                <w:rFonts w:cs="仿宋_GB2312" w:asciiTheme="minorEastAsia" w:hAnsiTheme="minorEastAsia"/>
                <w:color w:val="000000"/>
                <w:kern w:val="0"/>
                <w:szCs w:val="21"/>
              </w:rPr>
            </w:pPr>
          </w:p>
        </w:tc>
        <w:tc>
          <w:tcPr>
            <w:tcW w:w="1970" w:type="dxa"/>
            <w:shd w:val="clear" w:color="auto" w:fill="FFFFFF" w:themeFill="background1"/>
            <w:vAlign w:val="center"/>
          </w:tcPr>
          <w:p w14:paraId="7E46A561">
            <w:pPr>
              <w:widowControl/>
              <w:jc w:val="left"/>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“三公经费”控制率</w:t>
            </w:r>
          </w:p>
        </w:tc>
        <w:tc>
          <w:tcPr>
            <w:tcW w:w="524" w:type="dxa"/>
            <w:shd w:val="clear" w:color="auto" w:fill="FFFFFF" w:themeFill="background1"/>
            <w:vAlign w:val="center"/>
          </w:tcPr>
          <w:p w14:paraId="32542727">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8</w:t>
            </w:r>
          </w:p>
        </w:tc>
        <w:tc>
          <w:tcPr>
            <w:tcW w:w="6400" w:type="dxa"/>
            <w:shd w:val="clear" w:color="auto" w:fill="FFFFFF" w:themeFill="background1"/>
            <w:vAlign w:val="center"/>
          </w:tcPr>
          <w:p w14:paraId="511A7D75">
            <w:pPr>
              <w:widowControl/>
              <w:jc w:val="left"/>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以</w:t>
            </w:r>
            <w:r>
              <w:rPr>
                <w:rFonts w:cs="仿宋_GB2312" w:asciiTheme="minorEastAsia" w:hAnsiTheme="minorEastAsia"/>
                <w:color w:val="000000"/>
                <w:kern w:val="0"/>
                <w:szCs w:val="21"/>
              </w:rPr>
              <w:t>100%为标准。“三公经费”控制率≦100%，计8分；每超过一个百分点扣1分，扣完为止。</w:t>
            </w:r>
          </w:p>
        </w:tc>
        <w:tc>
          <w:tcPr>
            <w:tcW w:w="876" w:type="dxa"/>
            <w:shd w:val="clear" w:color="auto" w:fill="FFFFFF" w:themeFill="background1"/>
            <w:vAlign w:val="center"/>
          </w:tcPr>
          <w:p w14:paraId="55E5EA06">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8</w:t>
            </w:r>
          </w:p>
        </w:tc>
      </w:tr>
      <w:tr w14:paraId="156C7A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56AB24F5">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41D03C6A">
            <w:pPr>
              <w:widowControl/>
              <w:jc w:val="center"/>
              <w:textAlignment w:val="center"/>
              <w:rPr>
                <w:rFonts w:cs="仿宋_GB2312" w:asciiTheme="minorEastAsia" w:hAnsiTheme="minorEastAsia"/>
                <w:color w:val="000000"/>
                <w:kern w:val="0"/>
                <w:szCs w:val="21"/>
              </w:rPr>
            </w:pPr>
          </w:p>
        </w:tc>
        <w:tc>
          <w:tcPr>
            <w:tcW w:w="1080" w:type="dxa"/>
            <w:vMerge w:val="continue"/>
            <w:shd w:val="clear" w:color="auto" w:fill="FFFFFF" w:themeFill="background1"/>
            <w:vAlign w:val="center"/>
          </w:tcPr>
          <w:p w14:paraId="3D4D9C64">
            <w:pPr>
              <w:widowControl/>
              <w:jc w:val="center"/>
              <w:textAlignment w:val="center"/>
              <w:rPr>
                <w:rFonts w:cs="仿宋_GB2312" w:asciiTheme="minorEastAsia" w:hAnsiTheme="minorEastAsia"/>
                <w:color w:val="000000"/>
                <w:kern w:val="0"/>
                <w:szCs w:val="21"/>
              </w:rPr>
            </w:pPr>
          </w:p>
        </w:tc>
        <w:tc>
          <w:tcPr>
            <w:tcW w:w="746" w:type="dxa"/>
            <w:vMerge w:val="continue"/>
            <w:shd w:val="clear" w:color="auto" w:fill="FFFFFF" w:themeFill="background1"/>
            <w:vAlign w:val="center"/>
          </w:tcPr>
          <w:p w14:paraId="7A315EBF">
            <w:pPr>
              <w:widowControl/>
              <w:jc w:val="center"/>
              <w:textAlignment w:val="center"/>
              <w:rPr>
                <w:rFonts w:cs="仿宋_GB2312" w:asciiTheme="minorEastAsia" w:hAnsiTheme="minorEastAsia"/>
                <w:color w:val="000000"/>
                <w:kern w:val="0"/>
                <w:szCs w:val="21"/>
              </w:rPr>
            </w:pPr>
          </w:p>
        </w:tc>
        <w:tc>
          <w:tcPr>
            <w:tcW w:w="1970" w:type="dxa"/>
            <w:shd w:val="clear" w:color="auto" w:fill="FFFFFF" w:themeFill="background1"/>
            <w:vAlign w:val="center"/>
          </w:tcPr>
          <w:p w14:paraId="3E18CF31">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政府采购执行率</w:t>
            </w:r>
          </w:p>
        </w:tc>
        <w:tc>
          <w:tcPr>
            <w:tcW w:w="524" w:type="dxa"/>
            <w:shd w:val="clear" w:color="auto" w:fill="FFFFFF" w:themeFill="background1"/>
            <w:vAlign w:val="center"/>
          </w:tcPr>
          <w:p w14:paraId="73AEF9DF">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6</w:t>
            </w:r>
          </w:p>
        </w:tc>
        <w:tc>
          <w:tcPr>
            <w:tcW w:w="6400" w:type="dxa"/>
            <w:shd w:val="clear" w:color="auto" w:fill="FFFFFF" w:themeFill="background1"/>
            <w:vAlign w:val="center"/>
          </w:tcPr>
          <w:p w14:paraId="2244056E">
            <w:pPr>
              <w:widowControl/>
              <w:jc w:val="left"/>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以</w:t>
            </w:r>
            <w:r>
              <w:rPr>
                <w:rFonts w:cs="仿宋_GB2312" w:asciiTheme="minorEastAsia" w:hAnsiTheme="minorEastAsia"/>
                <w:color w:val="000000"/>
                <w:kern w:val="0"/>
                <w:szCs w:val="21"/>
              </w:rPr>
              <w:t>100%为标准。“三公经费”控制率≦100%，计8分；每超过一个百分点扣1分，扣完为止。</w:t>
            </w:r>
          </w:p>
        </w:tc>
        <w:tc>
          <w:tcPr>
            <w:tcW w:w="876" w:type="dxa"/>
            <w:shd w:val="clear" w:color="auto" w:fill="FFFFFF" w:themeFill="background1"/>
            <w:vAlign w:val="center"/>
          </w:tcPr>
          <w:p w14:paraId="771EE15A">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6</w:t>
            </w:r>
          </w:p>
        </w:tc>
      </w:tr>
      <w:tr w14:paraId="17D0CF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42CB12FC">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38279281">
            <w:pPr>
              <w:widowControl/>
              <w:jc w:val="center"/>
              <w:textAlignment w:val="center"/>
              <w:rPr>
                <w:rFonts w:cs="仿宋_GB2312" w:asciiTheme="minorEastAsia" w:hAnsiTheme="minorEastAsia"/>
                <w:color w:val="000000"/>
                <w:kern w:val="0"/>
                <w:szCs w:val="21"/>
              </w:rPr>
            </w:pPr>
          </w:p>
        </w:tc>
        <w:tc>
          <w:tcPr>
            <w:tcW w:w="1080" w:type="dxa"/>
            <w:vMerge w:val="restart"/>
            <w:shd w:val="clear" w:color="auto" w:fill="FFFFFF" w:themeFill="background1"/>
            <w:vAlign w:val="center"/>
          </w:tcPr>
          <w:p w14:paraId="30AC04B4">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预算管理</w:t>
            </w:r>
          </w:p>
        </w:tc>
        <w:tc>
          <w:tcPr>
            <w:tcW w:w="746" w:type="dxa"/>
            <w:vMerge w:val="restart"/>
            <w:shd w:val="clear" w:color="auto" w:fill="FFFFFF" w:themeFill="background1"/>
            <w:vAlign w:val="center"/>
          </w:tcPr>
          <w:p w14:paraId="4E37E259">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19</w:t>
            </w:r>
          </w:p>
        </w:tc>
        <w:tc>
          <w:tcPr>
            <w:tcW w:w="1970" w:type="dxa"/>
            <w:shd w:val="clear" w:color="auto" w:fill="FFFFFF" w:themeFill="background1"/>
            <w:vAlign w:val="center"/>
          </w:tcPr>
          <w:p w14:paraId="7C25047A">
            <w:pPr>
              <w:widowControl/>
              <w:jc w:val="left"/>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管理制度健全性</w:t>
            </w:r>
          </w:p>
        </w:tc>
        <w:tc>
          <w:tcPr>
            <w:tcW w:w="524" w:type="dxa"/>
            <w:shd w:val="clear" w:color="auto" w:fill="FFFFFF" w:themeFill="background1"/>
            <w:vAlign w:val="center"/>
          </w:tcPr>
          <w:p w14:paraId="7FDB12CC">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8</w:t>
            </w:r>
          </w:p>
        </w:tc>
        <w:tc>
          <w:tcPr>
            <w:tcW w:w="6400" w:type="dxa"/>
            <w:shd w:val="clear" w:color="auto" w:fill="FFFFFF" w:themeFill="background1"/>
            <w:vAlign w:val="center"/>
          </w:tcPr>
          <w:p w14:paraId="3968C937">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①有内部财务管理制度、会计核算制度等管理制度，2分；②有本部门厉行节约制度,2分；③相关管理制度合法、合规、完整，2分；④相关管理制度得到有效执行，2分。</w:t>
            </w:r>
          </w:p>
        </w:tc>
        <w:tc>
          <w:tcPr>
            <w:tcW w:w="876" w:type="dxa"/>
            <w:shd w:val="clear" w:color="auto" w:fill="FFFFFF" w:themeFill="background1"/>
            <w:vAlign w:val="center"/>
          </w:tcPr>
          <w:p w14:paraId="07E478CF">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7</w:t>
            </w:r>
          </w:p>
        </w:tc>
      </w:tr>
      <w:tr w14:paraId="67E85C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45DAFA2C">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07CC94C5">
            <w:pPr>
              <w:widowControl/>
              <w:jc w:val="center"/>
              <w:textAlignment w:val="center"/>
              <w:rPr>
                <w:rFonts w:cs="仿宋_GB2312" w:asciiTheme="minorEastAsia" w:hAnsiTheme="minorEastAsia"/>
                <w:color w:val="000000"/>
                <w:kern w:val="0"/>
                <w:szCs w:val="21"/>
              </w:rPr>
            </w:pPr>
          </w:p>
        </w:tc>
        <w:tc>
          <w:tcPr>
            <w:tcW w:w="1080" w:type="dxa"/>
            <w:vMerge w:val="continue"/>
            <w:shd w:val="clear" w:color="auto" w:fill="FFFFFF" w:themeFill="background1"/>
            <w:vAlign w:val="center"/>
          </w:tcPr>
          <w:p w14:paraId="0B2BD6F0">
            <w:pPr>
              <w:widowControl/>
              <w:jc w:val="center"/>
              <w:textAlignment w:val="center"/>
              <w:rPr>
                <w:rFonts w:cs="仿宋_GB2312" w:asciiTheme="minorEastAsia" w:hAnsiTheme="minorEastAsia"/>
                <w:color w:val="000000"/>
                <w:kern w:val="0"/>
                <w:szCs w:val="21"/>
              </w:rPr>
            </w:pPr>
          </w:p>
        </w:tc>
        <w:tc>
          <w:tcPr>
            <w:tcW w:w="746" w:type="dxa"/>
            <w:vMerge w:val="continue"/>
            <w:shd w:val="clear" w:color="auto" w:fill="FFFFFF" w:themeFill="background1"/>
            <w:vAlign w:val="center"/>
          </w:tcPr>
          <w:p w14:paraId="32B7CE4A">
            <w:pPr>
              <w:widowControl/>
              <w:jc w:val="center"/>
              <w:textAlignment w:val="center"/>
              <w:rPr>
                <w:rFonts w:cs="仿宋_GB2312" w:asciiTheme="minorEastAsia" w:hAnsiTheme="minorEastAsia"/>
                <w:color w:val="000000"/>
                <w:kern w:val="0"/>
                <w:szCs w:val="21"/>
              </w:rPr>
            </w:pPr>
          </w:p>
        </w:tc>
        <w:tc>
          <w:tcPr>
            <w:tcW w:w="1970" w:type="dxa"/>
            <w:shd w:val="clear" w:color="auto" w:fill="FFFFFF" w:themeFill="background1"/>
            <w:vAlign w:val="center"/>
          </w:tcPr>
          <w:p w14:paraId="59842224">
            <w:pPr>
              <w:widowControl/>
              <w:jc w:val="left"/>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资金使用合规性</w:t>
            </w:r>
          </w:p>
        </w:tc>
        <w:tc>
          <w:tcPr>
            <w:tcW w:w="524" w:type="dxa"/>
            <w:shd w:val="clear" w:color="auto" w:fill="FFFFFF" w:themeFill="background1"/>
            <w:vAlign w:val="center"/>
          </w:tcPr>
          <w:p w14:paraId="13C41B5A">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6</w:t>
            </w:r>
          </w:p>
        </w:tc>
        <w:tc>
          <w:tcPr>
            <w:tcW w:w="6400" w:type="dxa"/>
            <w:shd w:val="clear" w:color="auto" w:fill="FFFFFF" w:themeFill="background1"/>
            <w:vAlign w:val="center"/>
          </w:tcPr>
          <w:p w14:paraId="4111D21E">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以上情况每出现一例不符合要求的扣1分，扣完为止。</w:t>
            </w:r>
          </w:p>
        </w:tc>
        <w:tc>
          <w:tcPr>
            <w:tcW w:w="876" w:type="dxa"/>
            <w:shd w:val="clear" w:color="auto" w:fill="FFFFFF" w:themeFill="background1"/>
            <w:vAlign w:val="center"/>
          </w:tcPr>
          <w:p w14:paraId="131687DD">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4</w:t>
            </w:r>
          </w:p>
        </w:tc>
      </w:tr>
      <w:tr w14:paraId="55FCFF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125E2F2D">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36B3288C">
            <w:pPr>
              <w:widowControl/>
              <w:jc w:val="center"/>
              <w:textAlignment w:val="center"/>
              <w:rPr>
                <w:rFonts w:cs="仿宋_GB2312" w:asciiTheme="minorEastAsia" w:hAnsiTheme="minorEastAsia"/>
                <w:color w:val="000000"/>
                <w:kern w:val="0"/>
                <w:szCs w:val="21"/>
              </w:rPr>
            </w:pPr>
          </w:p>
        </w:tc>
        <w:tc>
          <w:tcPr>
            <w:tcW w:w="1080" w:type="dxa"/>
            <w:vMerge w:val="continue"/>
            <w:shd w:val="clear" w:color="auto" w:fill="FFFFFF" w:themeFill="background1"/>
            <w:vAlign w:val="center"/>
          </w:tcPr>
          <w:p w14:paraId="1C02B7DF">
            <w:pPr>
              <w:widowControl/>
              <w:jc w:val="center"/>
              <w:textAlignment w:val="center"/>
              <w:rPr>
                <w:rFonts w:cs="仿宋_GB2312" w:asciiTheme="minorEastAsia" w:hAnsiTheme="minorEastAsia"/>
                <w:color w:val="000000"/>
                <w:kern w:val="0"/>
                <w:szCs w:val="21"/>
              </w:rPr>
            </w:pPr>
          </w:p>
        </w:tc>
        <w:tc>
          <w:tcPr>
            <w:tcW w:w="746" w:type="dxa"/>
            <w:vMerge w:val="continue"/>
            <w:shd w:val="clear" w:color="auto" w:fill="FFFFFF" w:themeFill="background1"/>
            <w:vAlign w:val="center"/>
          </w:tcPr>
          <w:p w14:paraId="7B4710F7">
            <w:pPr>
              <w:widowControl/>
              <w:jc w:val="center"/>
              <w:textAlignment w:val="center"/>
              <w:rPr>
                <w:rFonts w:cs="仿宋_GB2312" w:asciiTheme="minorEastAsia" w:hAnsiTheme="minorEastAsia"/>
                <w:color w:val="000000"/>
                <w:kern w:val="0"/>
                <w:szCs w:val="21"/>
              </w:rPr>
            </w:pPr>
          </w:p>
        </w:tc>
        <w:tc>
          <w:tcPr>
            <w:tcW w:w="1970" w:type="dxa"/>
            <w:shd w:val="clear" w:color="auto" w:fill="FFFFFF" w:themeFill="background1"/>
            <w:vAlign w:val="center"/>
          </w:tcPr>
          <w:p w14:paraId="6D46C0F6">
            <w:pPr>
              <w:widowControl/>
              <w:jc w:val="left"/>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预决算信息公开性</w:t>
            </w:r>
          </w:p>
        </w:tc>
        <w:tc>
          <w:tcPr>
            <w:tcW w:w="524" w:type="dxa"/>
            <w:shd w:val="clear" w:color="auto" w:fill="FFFFFF" w:themeFill="background1"/>
            <w:vAlign w:val="center"/>
          </w:tcPr>
          <w:p w14:paraId="16FB74B2">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5</w:t>
            </w:r>
          </w:p>
        </w:tc>
        <w:tc>
          <w:tcPr>
            <w:tcW w:w="6400" w:type="dxa"/>
            <w:shd w:val="clear" w:color="auto" w:fill="FFFFFF" w:themeFill="background1"/>
            <w:vAlign w:val="center"/>
          </w:tcPr>
          <w:p w14:paraId="70CD6D3D">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①按规定内容公开预决算信息，1分；②按规定时限公开预决算信息，1分；③基础数据信息和会计信息资料真实，1分；④基础数据信息和会计信息资料完整，1分；⑤基础数据信息和汇集信息资料准确，1分。</w:t>
            </w:r>
          </w:p>
        </w:tc>
        <w:tc>
          <w:tcPr>
            <w:tcW w:w="876" w:type="dxa"/>
            <w:shd w:val="clear" w:color="auto" w:fill="FFFFFF" w:themeFill="background1"/>
            <w:vAlign w:val="center"/>
          </w:tcPr>
          <w:p w14:paraId="00560B46">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5</w:t>
            </w:r>
          </w:p>
        </w:tc>
      </w:tr>
      <w:tr w14:paraId="2AC445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284" w:hRule="atLeast"/>
        </w:trPr>
        <w:tc>
          <w:tcPr>
            <w:tcW w:w="1079" w:type="dxa"/>
            <w:vMerge w:val="restart"/>
            <w:shd w:val="clear" w:color="auto" w:fill="FFFFFF" w:themeFill="background1"/>
            <w:vAlign w:val="center"/>
          </w:tcPr>
          <w:p w14:paraId="55C08D02">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产出和效率</w:t>
            </w:r>
          </w:p>
        </w:tc>
        <w:tc>
          <w:tcPr>
            <w:tcW w:w="615" w:type="dxa"/>
            <w:vMerge w:val="restart"/>
            <w:shd w:val="clear" w:color="auto" w:fill="FFFFFF" w:themeFill="background1"/>
            <w:vAlign w:val="center"/>
          </w:tcPr>
          <w:p w14:paraId="74D0D23A">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26</w:t>
            </w:r>
          </w:p>
        </w:tc>
        <w:tc>
          <w:tcPr>
            <w:tcW w:w="1080" w:type="dxa"/>
            <w:shd w:val="clear" w:color="auto" w:fill="FFFFFF" w:themeFill="background1"/>
            <w:vAlign w:val="center"/>
          </w:tcPr>
          <w:p w14:paraId="67A734E5">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职责履行</w:t>
            </w:r>
          </w:p>
        </w:tc>
        <w:tc>
          <w:tcPr>
            <w:tcW w:w="746" w:type="dxa"/>
            <w:shd w:val="clear" w:color="auto" w:fill="FFFFFF" w:themeFill="background1"/>
            <w:vAlign w:val="center"/>
          </w:tcPr>
          <w:p w14:paraId="6015578D">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8</w:t>
            </w:r>
          </w:p>
        </w:tc>
        <w:tc>
          <w:tcPr>
            <w:tcW w:w="1970" w:type="dxa"/>
            <w:shd w:val="clear" w:color="auto" w:fill="FFFFFF" w:themeFill="background1"/>
            <w:vAlign w:val="center"/>
          </w:tcPr>
          <w:p w14:paraId="0CC4D1CA">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重点工作实际完成率</w:t>
            </w:r>
          </w:p>
        </w:tc>
        <w:tc>
          <w:tcPr>
            <w:tcW w:w="524" w:type="dxa"/>
            <w:shd w:val="clear" w:color="auto" w:fill="FFFFFF" w:themeFill="background1"/>
            <w:vAlign w:val="center"/>
          </w:tcPr>
          <w:p w14:paraId="6E62416D">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8</w:t>
            </w:r>
          </w:p>
        </w:tc>
        <w:tc>
          <w:tcPr>
            <w:tcW w:w="6400" w:type="dxa"/>
            <w:shd w:val="clear" w:color="auto" w:fill="FFFFFF" w:themeFill="background1"/>
            <w:vAlign w:val="center"/>
          </w:tcPr>
          <w:p w14:paraId="350BBDEB">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根据绩效办对各部门为民办实事和部门重点工程与重点工作考核分数折算。该项得分=（绩效办对应部分考核得分/350）*8</w:t>
            </w:r>
          </w:p>
        </w:tc>
        <w:tc>
          <w:tcPr>
            <w:tcW w:w="876" w:type="dxa"/>
            <w:shd w:val="clear" w:color="auto" w:fill="FFFFFF" w:themeFill="background1"/>
            <w:vAlign w:val="center"/>
          </w:tcPr>
          <w:p w14:paraId="2FD3127A">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8</w:t>
            </w:r>
          </w:p>
        </w:tc>
      </w:tr>
      <w:tr w14:paraId="39A7A6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6A39DC31">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3D7F1BEB">
            <w:pPr>
              <w:widowControl/>
              <w:jc w:val="center"/>
              <w:textAlignment w:val="center"/>
              <w:rPr>
                <w:rFonts w:cs="仿宋_GB2312" w:asciiTheme="minorEastAsia" w:hAnsiTheme="minorEastAsia"/>
                <w:color w:val="000000"/>
                <w:kern w:val="0"/>
                <w:szCs w:val="21"/>
              </w:rPr>
            </w:pPr>
          </w:p>
        </w:tc>
        <w:tc>
          <w:tcPr>
            <w:tcW w:w="1080" w:type="dxa"/>
            <w:vMerge w:val="restart"/>
            <w:shd w:val="clear" w:color="auto" w:fill="FFFFFF" w:themeFill="background1"/>
            <w:vAlign w:val="center"/>
          </w:tcPr>
          <w:p w14:paraId="1F1FF80E">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履职效益</w:t>
            </w:r>
          </w:p>
        </w:tc>
        <w:tc>
          <w:tcPr>
            <w:tcW w:w="746" w:type="dxa"/>
            <w:vMerge w:val="restart"/>
            <w:shd w:val="clear" w:color="auto" w:fill="FFFFFF" w:themeFill="background1"/>
            <w:vAlign w:val="center"/>
          </w:tcPr>
          <w:p w14:paraId="6C403DD4">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6</w:t>
            </w:r>
          </w:p>
        </w:tc>
        <w:tc>
          <w:tcPr>
            <w:tcW w:w="1970" w:type="dxa"/>
            <w:shd w:val="clear" w:color="auto" w:fill="FFFFFF" w:themeFill="background1"/>
            <w:vAlign w:val="center"/>
          </w:tcPr>
          <w:p w14:paraId="2DD88AFE">
            <w:pPr>
              <w:widowControl/>
              <w:jc w:val="left"/>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经济效益</w:t>
            </w:r>
          </w:p>
        </w:tc>
        <w:tc>
          <w:tcPr>
            <w:tcW w:w="524" w:type="dxa"/>
            <w:vMerge w:val="restart"/>
            <w:shd w:val="clear" w:color="auto" w:fill="FFFFFF" w:themeFill="background1"/>
            <w:vAlign w:val="center"/>
          </w:tcPr>
          <w:p w14:paraId="14A9AB83">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6</w:t>
            </w:r>
          </w:p>
        </w:tc>
        <w:tc>
          <w:tcPr>
            <w:tcW w:w="6400" w:type="dxa"/>
            <w:vMerge w:val="restart"/>
            <w:shd w:val="clear" w:color="auto" w:fill="FFFFFF" w:themeFill="background1"/>
            <w:vAlign w:val="center"/>
          </w:tcPr>
          <w:p w14:paraId="4278DA3A">
            <w:pPr>
              <w:widowControl/>
              <w:jc w:val="left"/>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①.撰写好呈报性综合材料、总结性材料，1分；；②《长沙调研》、《长沙通讯》，2分。</w:t>
            </w:r>
            <w:r>
              <w:rPr>
                <w:rFonts w:cs="仿宋_GB2312" w:asciiTheme="minorEastAsia" w:hAnsiTheme="minorEastAsia"/>
                <w:color w:val="000000"/>
                <w:kern w:val="0"/>
                <w:szCs w:val="21"/>
              </w:rPr>
              <w:t>③加强全面深化改革工作督察，1分；④完成重大课题研究，1分；⑤牵头推进全面小康工作，1分。</w:t>
            </w:r>
          </w:p>
        </w:tc>
        <w:tc>
          <w:tcPr>
            <w:tcW w:w="876" w:type="dxa"/>
            <w:vMerge w:val="restart"/>
            <w:shd w:val="clear" w:color="auto" w:fill="FFFFFF" w:themeFill="background1"/>
            <w:vAlign w:val="center"/>
          </w:tcPr>
          <w:p w14:paraId="018E3A61">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6</w:t>
            </w:r>
          </w:p>
        </w:tc>
      </w:tr>
      <w:tr w14:paraId="1B7177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1837DA37">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23B7EB8C">
            <w:pPr>
              <w:widowControl/>
              <w:jc w:val="center"/>
              <w:textAlignment w:val="center"/>
              <w:rPr>
                <w:rFonts w:cs="仿宋_GB2312" w:asciiTheme="minorEastAsia" w:hAnsiTheme="minorEastAsia"/>
                <w:color w:val="000000"/>
                <w:kern w:val="0"/>
                <w:szCs w:val="21"/>
              </w:rPr>
            </w:pPr>
          </w:p>
        </w:tc>
        <w:tc>
          <w:tcPr>
            <w:tcW w:w="1080" w:type="dxa"/>
            <w:vMerge w:val="continue"/>
            <w:shd w:val="clear" w:color="auto" w:fill="FFFFFF" w:themeFill="background1"/>
            <w:vAlign w:val="center"/>
          </w:tcPr>
          <w:p w14:paraId="74BB49D8">
            <w:pPr>
              <w:widowControl/>
              <w:jc w:val="center"/>
              <w:textAlignment w:val="center"/>
              <w:rPr>
                <w:rFonts w:cs="仿宋_GB2312" w:asciiTheme="minorEastAsia" w:hAnsiTheme="minorEastAsia"/>
                <w:color w:val="000000"/>
                <w:kern w:val="0"/>
                <w:szCs w:val="21"/>
              </w:rPr>
            </w:pPr>
          </w:p>
        </w:tc>
        <w:tc>
          <w:tcPr>
            <w:tcW w:w="746" w:type="dxa"/>
            <w:vMerge w:val="continue"/>
            <w:shd w:val="clear" w:color="auto" w:fill="FFFFFF" w:themeFill="background1"/>
            <w:vAlign w:val="center"/>
          </w:tcPr>
          <w:p w14:paraId="00BA103C">
            <w:pPr>
              <w:widowControl/>
              <w:jc w:val="center"/>
              <w:textAlignment w:val="center"/>
              <w:rPr>
                <w:rFonts w:cs="仿宋_GB2312" w:asciiTheme="minorEastAsia" w:hAnsiTheme="minorEastAsia"/>
                <w:color w:val="000000"/>
                <w:kern w:val="0"/>
                <w:szCs w:val="21"/>
              </w:rPr>
            </w:pPr>
          </w:p>
        </w:tc>
        <w:tc>
          <w:tcPr>
            <w:tcW w:w="1970" w:type="dxa"/>
            <w:shd w:val="clear" w:color="auto" w:fill="FFFFFF" w:themeFill="background1"/>
            <w:vAlign w:val="center"/>
          </w:tcPr>
          <w:p w14:paraId="30ADF2E3">
            <w:pPr>
              <w:widowControl/>
              <w:jc w:val="left"/>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社会效益</w:t>
            </w:r>
          </w:p>
        </w:tc>
        <w:tc>
          <w:tcPr>
            <w:tcW w:w="524" w:type="dxa"/>
            <w:vMerge w:val="continue"/>
            <w:shd w:val="clear" w:color="auto" w:fill="FFFFFF" w:themeFill="background1"/>
            <w:vAlign w:val="center"/>
          </w:tcPr>
          <w:p w14:paraId="079C0DA5">
            <w:pPr>
              <w:widowControl/>
              <w:jc w:val="center"/>
              <w:textAlignment w:val="center"/>
              <w:rPr>
                <w:rFonts w:cs="仿宋_GB2312" w:asciiTheme="minorEastAsia" w:hAnsiTheme="minorEastAsia"/>
                <w:color w:val="000000"/>
                <w:kern w:val="0"/>
                <w:szCs w:val="21"/>
              </w:rPr>
            </w:pPr>
          </w:p>
        </w:tc>
        <w:tc>
          <w:tcPr>
            <w:tcW w:w="6400" w:type="dxa"/>
            <w:vMerge w:val="continue"/>
            <w:shd w:val="clear" w:color="auto" w:fill="FFFFFF" w:themeFill="background1"/>
            <w:vAlign w:val="center"/>
          </w:tcPr>
          <w:p w14:paraId="35C0E17C">
            <w:pPr>
              <w:widowControl/>
              <w:jc w:val="left"/>
              <w:textAlignment w:val="center"/>
              <w:rPr>
                <w:rFonts w:cs="仿宋_GB2312" w:asciiTheme="minorEastAsia" w:hAnsiTheme="minorEastAsia"/>
                <w:color w:val="000000"/>
                <w:kern w:val="0"/>
                <w:szCs w:val="21"/>
              </w:rPr>
            </w:pPr>
          </w:p>
        </w:tc>
        <w:tc>
          <w:tcPr>
            <w:tcW w:w="876" w:type="dxa"/>
            <w:vMerge w:val="continue"/>
            <w:shd w:val="clear" w:color="auto" w:fill="FFFFFF" w:themeFill="background1"/>
            <w:vAlign w:val="center"/>
          </w:tcPr>
          <w:p w14:paraId="2529618A">
            <w:pPr>
              <w:widowControl/>
              <w:jc w:val="center"/>
              <w:textAlignment w:val="center"/>
              <w:rPr>
                <w:rFonts w:cs="仿宋_GB2312" w:asciiTheme="minorEastAsia" w:hAnsiTheme="minorEastAsia"/>
                <w:color w:val="000000"/>
                <w:kern w:val="0"/>
                <w:szCs w:val="21"/>
              </w:rPr>
            </w:pPr>
          </w:p>
        </w:tc>
      </w:tr>
      <w:tr w14:paraId="16E822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12135298">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2073CD5B">
            <w:pPr>
              <w:widowControl/>
              <w:jc w:val="center"/>
              <w:textAlignment w:val="center"/>
              <w:rPr>
                <w:rFonts w:cs="仿宋_GB2312" w:asciiTheme="minorEastAsia" w:hAnsiTheme="minorEastAsia"/>
                <w:color w:val="000000"/>
                <w:kern w:val="0"/>
                <w:szCs w:val="21"/>
              </w:rPr>
            </w:pPr>
          </w:p>
        </w:tc>
        <w:tc>
          <w:tcPr>
            <w:tcW w:w="1080" w:type="dxa"/>
            <w:vMerge w:val="continue"/>
            <w:shd w:val="clear" w:color="auto" w:fill="FFFFFF" w:themeFill="background1"/>
            <w:vAlign w:val="center"/>
          </w:tcPr>
          <w:p w14:paraId="48B917F6">
            <w:pPr>
              <w:widowControl/>
              <w:jc w:val="center"/>
              <w:textAlignment w:val="center"/>
              <w:rPr>
                <w:rFonts w:cs="仿宋_GB2312" w:asciiTheme="minorEastAsia" w:hAnsiTheme="minorEastAsia"/>
                <w:color w:val="000000"/>
                <w:kern w:val="0"/>
                <w:szCs w:val="21"/>
              </w:rPr>
            </w:pPr>
          </w:p>
        </w:tc>
        <w:tc>
          <w:tcPr>
            <w:tcW w:w="746" w:type="dxa"/>
            <w:vMerge w:val="restart"/>
            <w:shd w:val="clear" w:color="auto" w:fill="FFFFFF" w:themeFill="background1"/>
            <w:vAlign w:val="center"/>
          </w:tcPr>
          <w:p w14:paraId="2CDEBEC3">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12</w:t>
            </w:r>
          </w:p>
        </w:tc>
        <w:tc>
          <w:tcPr>
            <w:tcW w:w="1970" w:type="dxa"/>
            <w:shd w:val="clear" w:color="auto" w:fill="FFFFFF" w:themeFill="background1"/>
            <w:vAlign w:val="center"/>
          </w:tcPr>
          <w:p w14:paraId="7F82B4C6">
            <w:pPr>
              <w:widowControl/>
              <w:jc w:val="left"/>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行政效能</w:t>
            </w:r>
          </w:p>
        </w:tc>
        <w:tc>
          <w:tcPr>
            <w:tcW w:w="524" w:type="dxa"/>
            <w:shd w:val="clear" w:color="auto" w:fill="FFFFFF" w:themeFill="background1"/>
            <w:vAlign w:val="center"/>
          </w:tcPr>
          <w:p w14:paraId="77F705DE">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6</w:t>
            </w:r>
          </w:p>
        </w:tc>
        <w:tc>
          <w:tcPr>
            <w:tcW w:w="6400" w:type="dxa"/>
            <w:shd w:val="clear" w:color="auto" w:fill="FFFFFF" w:themeFill="background1"/>
            <w:vAlign w:val="center"/>
          </w:tcPr>
          <w:p w14:paraId="472A3946">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促进部门改进文风会风，加强经费及资产管理，推动网上办事，提高行政效率，降低行政成本效果较好的计6分；一般3分；无效果或者效果不明显0分。</w:t>
            </w:r>
          </w:p>
        </w:tc>
        <w:tc>
          <w:tcPr>
            <w:tcW w:w="876" w:type="dxa"/>
            <w:shd w:val="clear" w:color="auto" w:fill="FFFFFF" w:themeFill="background1"/>
            <w:vAlign w:val="center"/>
          </w:tcPr>
          <w:p w14:paraId="4AC92D69">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6</w:t>
            </w:r>
          </w:p>
        </w:tc>
      </w:tr>
      <w:tr w14:paraId="55652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284" w:hRule="atLeast"/>
        </w:trPr>
        <w:tc>
          <w:tcPr>
            <w:tcW w:w="1079" w:type="dxa"/>
            <w:vMerge w:val="continue"/>
            <w:shd w:val="clear" w:color="auto" w:fill="FFFFFF" w:themeFill="background1"/>
            <w:vAlign w:val="center"/>
          </w:tcPr>
          <w:p w14:paraId="5A3A8CDD">
            <w:pPr>
              <w:widowControl/>
              <w:jc w:val="center"/>
              <w:textAlignment w:val="center"/>
              <w:rPr>
                <w:rFonts w:cs="仿宋_GB2312" w:asciiTheme="minorEastAsia" w:hAnsiTheme="minorEastAsia"/>
                <w:color w:val="000000"/>
                <w:kern w:val="0"/>
                <w:szCs w:val="21"/>
              </w:rPr>
            </w:pPr>
          </w:p>
        </w:tc>
        <w:tc>
          <w:tcPr>
            <w:tcW w:w="615" w:type="dxa"/>
            <w:vMerge w:val="continue"/>
            <w:shd w:val="clear" w:color="auto" w:fill="FFFFFF" w:themeFill="background1"/>
            <w:vAlign w:val="center"/>
          </w:tcPr>
          <w:p w14:paraId="48788DAF">
            <w:pPr>
              <w:widowControl/>
              <w:jc w:val="center"/>
              <w:textAlignment w:val="center"/>
              <w:rPr>
                <w:rFonts w:cs="仿宋_GB2312" w:asciiTheme="minorEastAsia" w:hAnsiTheme="minorEastAsia"/>
                <w:color w:val="000000"/>
                <w:kern w:val="0"/>
                <w:szCs w:val="21"/>
              </w:rPr>
            </w:pPr>
          </w:p>
        </w:tc>
        <w:tc>
          <w:tcPr>
            <w:tcW w:w="1080" w:type="dxa"/>
            <w:vMerge w:val="continue"/>
            <w:shd w:val="clear" w:color="auto" w:fill="FFFFFF" w:themeFill="background1"/>
            <w:vAlign w:val="center"/>
          </w:tcPr>
          <w:p w14:paraId="0347BBD0">
            <w:pPr>
              <w:widowControl/>
              <w:jc w:val="center"/>
              <w:textAlignment w:val="center"/>
              <w:rPr>
                <w:rFonts w:cs="仿宋_GB2312" w:asciiTheme="minorEastAsia" w:hAnsiTheme="minorEastAsia"/>
                <w:color w:val="000000"/>
                <w:kern w:val="0"/>
                <w:szCs w:val="21"/>
              </w:rPr>
            </w:pPr>
          </w:p>
        </w:tc>
        <w:tc>
          <w:tcPr>
            <w:tcW w:w="746" w:type="dxa"/>
            <w:vMerge w:val="continue"/>
            <w:shd w:val="clear" w:color="auto" w:fill="FFFFFF" w:themeFill="background1"/>
            <w:vAlign w:val="center"/>
          </w:tcPr>
          <w:p w14:paraId="48B62202">
            <w:pPr>
              <w:widowControl/>
              <w:jc w:val="center"/>
              <w:textAlignment w:val="center"/>
              <w:rPr>
                <w:rFonts w:cs="仿宋_GB2312" w:asciiTheme="minorEastAsia" w:hAnsiTheme="minorEastAsia"/>
                <w:color w:val="000000"/>
                <w:kern w:val="0"/>
                <w:szCs w:val="21"/>
              </w:rPr>
            </w:pPr>
          </w:p>
        </w:tc>
        <w:tc>
          <w:tcPr>
            <w:tcW w:w="1970" w:type="dxa"/>
            <w:shd w:val="clear" w:color="auto" w:fill="FFFFFF" w:themeFill="background1"/>
            <w:vAlign w:val="center"/>
          </w:tcPr>
          <w:p w14:paraId="52BAA668">
            <w:pPr>
              <w:widowControl/>
              <w:jc w:val="left"/>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社会公众或服务对象满意度</w:t>
            </w:r>
          </w:p>
        </w:tc>
        <w:tc>
          <w:tcPr>
            <w:tcW w:w="524" w:type="dxa"/>
            <w:shd w:val="clear" w:color="auto" w:fill="FFFFFF" w:themeFill="background1"/>
            <w:vAlign w:val="center"/>
          </w:tcPr>
          <w:p w14:paraId="7F578C3E">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6</w:t>
            </w:r>
          </w:p>
        </w:tc>
        <w:tc>
          <w:tcPr>
            <w:tcW w:w="6400" w:type="dxa"/>
            <w:shd w:val="clear" w:color="auto" w:fill="FFFFFF" w:themeFill="background1"/>
            <w:vAlign w:val="center"/>
          </w:tcPr>
          <w:p w14:paraId="618BDDC3">
            <w:pPr>
              <w:widowControl/>
              <w:jc w:val="left"/>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90%（含）以上计6分；80%（含）-90%，计4分；70%（含）-80%，计2分；低于70%计0分。</w:t>
            </w:r>
          </w:p>
        </w:tc>
        <w:tc>
          <w:tcPr>
            <w:tcW w:w="876" w:type="dxa"/>
            <w:shd w:val="clear" w:color="auto" w:fill="FFFFFF" w:themeFill="background1"/>
            <w:vAlign w:val="center"/>
          </w:tcPr>
          <w:p w14:paraId="4BC1317E">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6</w:t>
            </w:r>
          </w:p>
        </w:tc>
      </w:tr>
      <w:tr w14:paraId="66EDE8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CellMar>
            <w:top w:w="15" w:type="dxa"/>
            <w:left w:w="15" w:type="dxa"/>
            <w:bottom w:w="15" w:type="dxa"/>
            <w:right w:w="15" w:type="dxa"/>
          </w:tblCellMar>
        </w:tblPrEx>
        <w:trPr>
          <w:trHeight w:val="284" w:hRule="atLeast"/>
        </w:trPr>
        <w:tc>
          <w:tcPr>
            <w:tcW w:w="1079" w:type="dxa"/>
            <w:shd w:val="clear" w:color="auto" w:fill="FFFFFF" w:themeFill="background1"/>
            <w:vAlign w:val="center"/>
          </w:tcPr>
          <w:p w14:paraId="0310992C">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合计</w:t>
            </w:r>
          </w:p>
        </w:tc>
        <w:tc>
          <w:tcPr>
            <w:tcW w:w="615" w:type="dxa"/>
            <w:shd w:val="clear" w:color="auto" w:fill="FFFFFF" w:themeFill="background1"/>
            <w:vAlign w:val="center"/>
          </w:tcPr>
          <w:p w14:paraId="46EABC6A">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100</w:t>
            </w:r>
          </w:p>
        </w:tc>
        <w:tc>
          <w:tcPr>
            <w:tcW w:w="1080" w:type="dxa"/>
            <w:shd w:val="clear" w:color="auto" w:fill="FFFFFF" w:themeFill="background1"/>
            <w:vAlign w:val="center"/>
          </w:tcPr>
          <w:p w14:paraId="4EC9A567">
            <w:pPr>
              <w:widowControl/>
              <w:jc w:val="center"/>
              <w:textAlignment w:val="center"/>
              <w:rPr>
                <w:rFonts w:cs="仿宋_GB2312" w:asciiTheme="minorEastAsia" w:hAnsiTheme="minorEastAsia"/>
                <w:color w:val="000000"/>
                <w:kern w:val="0"/>
                <w:szCs w:val="21"/>
              </w:rPr>
            </w:pPr>
          </w:p>
        </w:tc>
        <w:tc>
          <w:tcPr>
            <w:tcW w:w="746" w:type="dxa"/>
            <w:shd w:val="clear" w:color="auto" w:fill="FFFFFF" w:themeFill="background1"/>
            <w:vAlign w:val="center"/>
          </w:tcPr>
          <w:p w14:paraId="4EBDAFBE">
            <w:pPr>
              <w:widowControl/>
              <w:jc w:val="center"/>
              <w:textAlignment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100</w:t>
            </w:r>
          </w:p>
        </w:tc>
        <w:tc>
          <w:tcPr>
            <w:tcW w:w="1970" w:type="dxa"/>
            <w:shd w:val="clear" w:color="auto" w:fill="FFFFFF" w:themeFill="background1"/>
            <w:vAlign w:val="center"/>
          </w:tcPr>
          <w:p w14:paraId="55EB1963">
            <w:pPr>
              <w:widowControl/>
              <w:jc w:val="left"/>
              <w:textAlignment w:val="center"/>
              <w:rPr>
                <w:rFonts w:cs="仿宋_GB2312" w:asciiTheme="minorEastAsia" w:hAnsiTheme="minorEastAsia"/>
                <w:color w:val="000000"/>
                <w:kern w:val="0"/>
                <w:szCs w:val="21"/>
              </w:rPr>
            </w:pPr>
          </w:p>
        </w:tc>
        <w:tc>
          <w:tcPr>
            <w:tcW w:w="524" w:type="dxa"/>
            <w:shd w:val="clear" w:color="auto" w:fill="FFFFFF" w:themeFill="background1"/>
            <w:vAlign w:val="center"/>
          </w:tcPr>
          <w:p w14:paraId="53E579C7">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100</w:t>
            </w:r>
          </w:p>
        </w:tc>
        <w:tc>
          <w:tcPr>
            <w:tcW w:w="6400" w:type="dxa"/>
            <w:shd w:val="clear" w:color="auto" w:fill="FFFFFF" w:themeFill="background1"/>
            <w:vAlign w:val="center"/>
          </w:tcPr>
          <w:p w14:paraId="52DE1A37">
            <w:pPr>
              <w:widowControl/>
              <w:jc w:val="left"/>
              <w:textAlignment w:val="center"/>
              <w:rPr>
                <w:rFonts w:cs="仿宋_GB2312" w:asciiTheme="minorEastAsia" w:hAnsiTheme="minorEastAsia"/>
                <w:color w:val="000000"/>
                <w:kern w:val="0"/>
                <w:szCs w:val="21"/>
              </w:rPr>
            </w:pPr>
          </w:p>
        </w:tc>
        <w:tc>
          <w:tcPr>
            <w:tcW w:w="876" w:type="dxa"/>
            <w:shd w:val="clear" w:color="auto" w:fill="FFFFFF" w:themeFill="background1"/>
            <w:vAlign w:val="center"/>
          </w:tcPr>
          <w:p w14:paraId="4822289F">
            <w:pPr>
              <w:widowControl/>
              <w:jc w:val="center"/>
              <w:textAlignment w:val="center"/>
              <w:rPr>
                <w:rFonts w:cs="仿宋_GB2312" w:asciiTheme="minorEastAsia" w:hAnsiTheme="minorEastAsia"/>
                <w:color w:val="000000"/>
                <w:kern w:val="0"/>
                <w:szCs w:val="21"/>
              </w:rPr>
            </w:pPr>
            <w:r>
              <w:rPr>
                <w:rFonts w:cs="仿宋_GB2312" w:asciiTheme="minorEastAsia" w:hAnsiTheme="minorEastAsia"/>
                <w:color w:val="000000"/>
                <w:kern w:val="0"/>
                <w:szCs w:val="21"/>
              </w:rPr>
              <w:t>95.86</w:t>
            </w:r>
          </w:p>
        </w:tc>
      </w:tr>
    </w:tbl>
    <w:p w14:paraId="194FD956">
      <w:pPr>
        <w:spacing w:line="360" w:lineRule="auto"/>
        <w:ind w:firstLine="560" w:firstLineChars="200"/>
        <w:rPr>
          <w:rFonts w:ascii="宋体" w:hAnsi="宋体" w:eastAsia="宋体"/>
          <w:sz w:val="28"/>
          <w:szCs w:val="28"/>
        </w:rPr>
      </w:pPr>
    </w:p>
    <w:p w14:paraId="4D8D2B5C">
      <w:pPr>
        <w:spacing w:line="360" w:lineRule="auto"/>
        <w:ind w:firstLine="560" w:firstLineChars="200"/>
        <w:rPr>
          <w:rFonts w:ascii="宋体" w:hAnsi="宋体" w:eastAsia="宋体"/>
          <w:sz w:val="28"/>
          <w:szCs w:val="28"/>
        </w:rPr>
      </w:pPr>
    </w:p>
    <w:p w14:paraId="3F0B77FA">
      <w:pPr>
        <w:spacing w:line="360" w:lineRule="auto"/>
        <w:ind w:firstLine="560" w:firstLineChars="200"/>
        <w:jc w:val="center"/>
        <w:rPr>
          <w:rFonts w:ascii="宋体" w:hAnsi="宋体" w:eastAsia="宋体" w:cstheme="majorBidi"/>
          <w:b/>
          <w:bCs/>
          <w:sz w:val="28"/>
          <w:szCs w:val="28"/>
        </w:rPr>
      </w:pPr>
    </w:p>
    <w:p w14:paraId="46505F2A">
      <w:pPr>
        <w:spacing w:line="360" w:lineRule="auto"/>
        <w:ind w:firstLine="560" w:firstLineChars="200"/>
        <w:jc w:val="center"/>
        <w:rPr>
          <w:rFonts w:ascii="宋体" w:hAnsi="宋体" w:eastAsia="宋体" w:cstheme="majorBidi"/>
          <w:b/>
          <w:bCs/>
          <w:sz w:val="28"/>
          <w:szCs w:val="28"/>
        </w:rPr>
      </w:pPr>
    </w:p>
    <w:p w14:paraId="223BEE60">
      <w:pPr>
        <w:spacing w:line="360" w:lineRule="auto"/>
        <w:ind w:firstLine="560" w:firstLineChars="200"/>
        <w:jc w:val="center"/>
        <w:rPr>
          <w:rFonts w:ascii="宋体" w:hAnsi="宋体" w:eastAsia="宋体" w:cstheme="majorBidi"/>
          <w:b/>
          <w:bCs/>
          <w:sz w:val="28"/>
          <w:szCs w:val="28"/>
        </w:rPr>
      </w:pPr>
    </w:p>
    <w:p w14:paraId="758962D2">
      <w:pPr>
        <w:spacing w:line="360" w:lineRule="auto"/>
        <w:ind w:firstLine="560" w:firstLineChars="200"/>
        <w:jc w:val="center"/>
        <w:rPr>
          <w:rFonts w:ascii="宋体" w:hAnsi="宋体" w:eastAsia="宋体" w:cstheme="majorBidi"/>
          <w:b/>
          <w:bCs/>
          <w:sz w:val="28"/>
          <w:szCs w:val="28"/>
        </w:rPr>
      </w:pPr>
    </w:p>
    <w:p w14:paraId="70A2A8FC">
      <w:pPr>
        <w:spacing w:line="360" w:lineRule="auto"/>
        <w:ind w:firstLine="560" w:firstLineChars="200"/>
        <w:jc w:val="center"/>
        <w:rPr>
          <w:rFonts w:ascii="宋体" w:hAnsi="宋体" w:eastAsia="宋体" w:cstheme="majorBidi"/>
          <w:b/>
          <w:bCs/>
          <w:sz w:val="28"/>
          <w:szCs w:val="28"/>
        </w:rPr>
        <w:sectPr>
          <w:pgSz w:w="16838" w:h="11906" w:orient="landscape"/>
          <w:pgMar w:top="1797" w:right="1440" w:bottom="1797" w:left="1440" w:header="851" w:footer="992" w:gutter="0"/>
          <w:cols w:space="425" w:num="1"/>
          <w:docGrid w:type="linesAndChars" w:linePitch="312" w:charSpace="0"/>
        </w:sectPr>
      </w:pPr>
    </w:p>
    <w:p w14:paraId="549E86DB">
      <w:pPr>
        <w:spacing w:line="360" w:lineRule="auto"/>
        <w:ind w:firstLine="560" w:firstLineChars="200"/>
        <w:rPr>
          <w:rFonts w:ascii="宋体" w:hAnsi="宋体" w:eastAsia="宋体" w:cstheme="majorBidi"/>
          <w:b/>
          <w:bCs/>
          <w:sz w:val="28"/>
          <w:szCs w:val="28"/>
        </w:rPr>
      </w:pPr>
      <w:r>
        <w:rPr>
          <w:rFonts w:hint="eastAsia" w:ascii="宋体" w:hAnsi="宋体" w:eastAsia="宋体" w:cstheme="majorBidi"/>
          <w:b/>
          <w:bCs/>
          <w:sz w:val="28"/>
          <w:szCs w:val="28"/>
        </w:rPr>
        <w:t>附表三                                       支 出 明 细 表</w:t>
      </w:r>
    </w:p>
    <w:tbl>
      <w:tblPr>
        <w:tblStyle w:val="17"/>
        <w:tblW w:w="14174" w:type="dxa"/>
        <w:tblInd w:w="0" w:type="dxa"/>
        <w:tblLayout w:type="fixed"/>
        <w:tblCellMar>
          <w:top w:w="0" w:type="dxa"/>
          <w:left w:w="108" w:type="dxa"/>
          <w:bottom w:w="0" w:type="dxa"/>
          <w:right w:w="108" w:type="dxa"/>
        </w:tblCellMar>
      </w:tblPr>
      <w:tblGrid>
        <w:gridCol w:w="2083"/>
        <w:gridCol w:w="3452"/>
        <w:gridCol w:w="1227"/>
        <w:gridCol w:w="1508"/>
        <w:gridCol w:w="1151"/>
        <w:gridCol w:w="1334"/>
        <w:gridCol w:w="704"/>
        <w:gridCol w:w="1321"/>
        <w:gridCol w:w="1394"/>
      </w:tblGrid>
      <w:tr w14:paraId="08DAF7BF">
        <w:tblPrEx>
          <w:tblCellMar>
            <w:top w:w="0" w:type="dxa"/>
            <w:left w:w="108" w:type="dxa"/>
            <w:bottom w:w="0" w:type="dxa"/>
            <w:right w:w="108" w:type="dxa"/>
          </w:tblCellMar>
        </w:tblPrEx>
        <w:trPr>
          <w:trHeight w:val="340" w:hRule="exact"/>
          <w:tblHeader/>
        </w:trPr>
        <w:tc>
          <w:tcPr>
            <w:tcW w:w="208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890AFF6">
            <w:pPr>
              <w:widowControl/>
              <w:ind w:firstLine="400" w:firstLineChars="200"/>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项目</w:t>
            </w:r>
          </w:p>
        </w:tc>
        <w:tc>
          <w:tcPr>
            <w:tcW w:w="345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8B5C776">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支出功能分类</w:t>
            </w:r>
          </w:p>
        </w:tc>
        <w:tc>
          <w:tcPr>
            <w:tcW w:w="2735" w:type="dxa"/>
            <w:gridSpan w:val="2"/>
            <w:tcBorders>
              <w:top w:val="single" w:color="auto" w:sz="4" w:space="0"/>
              <w:left w:val="nil"/>
              <w:bottom w:val="single" w:color="auto" w:sz="4" w:space="0"/>
              <w:right w:val="single" w:color="auto" w:sz="4" w:space="0"/>
            </w:tcBorders>
            <w:shd w:val="clear" w:color="auto" w:fill="auto"/>
            <w:vAlign w:val="center"/>
          </w:tcPr>
          <w:p w14:paraId="54CC8033">
            <w:pPr>
              <w:widowControl/>
              <w:ind w:firstLine="400" w:firstLineChars="200"/>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基本支出</w:t>
            </w:r>
          </w:p>
        </w:tc>
        <w:tc>
          <w:tcPr>
            <w:tcW w:w="2485" w:type="dxa"/>
            <w:gridSpan w:val="2"/>
            <w:tcBorders>
              <w:top w:val="single" w:color="auto" w:sz="4" w:space="0"/>
              <w:left w:val="nil"/>
              <w:bottom w:val="single" w:color="auto" w:sz="4" w:space="0"/>
              <w:right w:val="single" w:color="auto" w:sz="4" w:space="0"/>
            </w:tcBorders>
            <w:shd w:val="clear" w:color="auto" w:fill="auto"/>
            <w:vAlign w:val="center"/>
          </w:tcPr>
          <w:p w14:paraId="43908C74">
            <w:pPr>
              <w:widowControl/>
              <w:ind w:firstLine="400" w:firstLineChars="200"/>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项目支出</w:t>
            </w:r>
          </w:p>
        </w:tc>
        <w:tc>
          <w:tcPr>
            <w:tcW w:w="3419" w:type="dxa"/>
            <w:gridSpan w:val="3"/>
            <w:tcBorders>
              <w:top w:val="single" w:color="auto" w:sz="4" w:space="0"/>
              <w:left w:val="nil"/>
              <w:bottom w:val="single" w:color="auto" w:sz="4" w:space="0"/>
              <w:right w:val="single" w:color="auto" w:sz="4" w:space="0"/>
            </w:tcBorders>
            <w:shd w:val="clear" w:color="auto" w:fill="auto"/>
            <w:vAlign w:val="center"/>
          </w:tcPr>
          <w:p w14:paraId="238CC80C">
            <w:pPr>
              <w:widowControl/>
              <w:ind w:firstLine="400" w:firstLineChars="200"/>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合计</w:t>
            </w:r>
          </w:p>
        </w:tc>
      </w:tr>
      <w:tr w14:paraId="52A394C0">
        <w:tblPrEx>
          <w:tblCellMar>
            <w:top w:w="0" w:type="dxa"/>
            <w:left w:w="108" w:type="dxa"/>
            <w:bottom w:w="0" w:type="dxa"/>
            <w:right w:w="108" w:type="dxa"/>
          </w:tblCellMar>
        </w:tblPrEx>
        <w:trPr>
          <w:trHeight w:val="628" w:hRule="exact"/>
          <w:tblHeader/>
        </w:trPr>
        <w:tc>
          <w:tcPr>
            <w:tcW w:w="2083" w:type="dxa"/>
            <w:vMerge w:val="continue"/>
            <w:tcBorders>
              <w:top w:val="single" w:color="auto" w:sz="4" w:space="0"/>
              <w:left w:val="single" w:color="auto" w:sz="4" w:space="0"/>
              <w:bottom w:val="single" w:color="auto" w:sz="4" w:space="0"/>
              <w:right w:val="single" w:color="auto" w:sz="4" w:space="0"/>
            </w:tcBorders>
            <w:vAlign w:val="center"/>
          </w:tcPr>
          <w:p w14:paraId="34B5180F">
            <w:pPr>
              <w:widowControl/>
              <w:ind w:firstLine="400" w:firstLineChars="200"/>
              <w:jc w:val="left"/>
              <w:rPr>
                <w:rFonts w:ascii="宋体" w:hAnsi="宋体" w:eastAsia="宋体" w:cs="宋体"/>
                <w:color w:val="000000"/>
                <w:kern w:val="0"/>
                <w:sz w:val="20"/>
                <w:szCs w:val="20"/>
              </w:rPr>
            </w:pPr>
          </w:p>
        </w:tc>
        <w:tc>
          <w:tcPr>
            <w:tcW w:w="3452" w:type="dxa"/>
            <w:vMerge w:val="continue"/>
            <w:tcBorders>
              <w:top w:val="single" w:color="auto" w:sz="4" w:space="0"/>
              <w:left w:val="single" w:color="auto" w:sz="4" w:space="0"/>
              <w:bottom w:val="single" w:color="auto" w:sz="4" w:space="0"/>
              <w:right w:val="single" w:color="auto" w:sz="4" w:space="0"/>
            </w:tcBorders>
            <w:vAlign w:val="center"/>
          </w:tcPr>
          <w:p w14:paraId="0557037D">
            <w:pPr>
              <w:widowControl/>
              <w:ind w:firstLine="400" w:firstLineChars="200"/>
              <w:jc w:val="left"/>
              <w:rPr>
                <w:rFonts w:ascii="宋体" w:hAnsi="宋体" w:eastAsia="宋体" w:cs="宋体"/>
                <w:color w:val="000000"/>
                <w:kern w:val="0"/>
                <w:sz w:val="20"/>
                <w:szCs w:val="20"/>
              </w:rPr>
            </w:pPr>
          </w:p>
        </w:tc>
        <w:tc>
          <w:tcPr>
            <w:tcW w:w="1227" w:type="dxa"/>
            <w:tcBorders>
              <w:top w:val="nil"/>
              <w:left w:val="nil"/>
              <w:bottom w:val="single" w:color="auto" w:sz="4" w:space="0"/>
              <w:right w:val="single" w:color="auto" w:sz="4" w:space="0"/>
            </w:tcBorders>
            <w:shd w:val="clear" w:color="000000" w:fill="FFFFFF"/>
            <w:vAlign w:val="center"/>
          </w:tcPr>
          <w:p w14:paraId="45350611">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年初预算</w:t>
            </w:r>
          </w:p>
        </w:tc>
        <w:tc>
          <w:tcPr>
            <w:tcW w:w="1508" w:type="dxa"/>
            <w:tcBorders>
              <w:top w:val="nil"/>
              <w:left w:val="nil"/>
              <w:bottom w:val="single" w:color="auto" w:sz="4" w:space="0"/>
              <w:right w:val="single" w:color="auto" w:sz="4" w:space="0"/>
            </w:tcBorders>
            <w:shd w:val="clear" w:color="auto" w:fill="auto"/>
            <w:vAlign w:val="center"/>
          </w:tcPr>
          <w:p w14:paraId="0F3299E4">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年终决算</w:t>
            </w:r>
          </w:p>
        </w:tc>
        <w:tc>
          <w:tcPr>
            <w:tcW w:w="1151" w:type="dxa"/>
            <w:tcBorders>
              <w:top w:val="nil"/>
              <w:left w:val="nil"/>
              <w:bottom w:val="single" w:color="auto" w:sz="4" w:space="0"/>
              <w:right w:val="single" w:color="auto" w:sz="4" w:space="0"/>
            </w:tcBorders>
            <w:shd w:val="clear" w:color="000000" w:fill="FFFFFF"/>
            <w:vAlign w:val="center"/>
          </w:tcPr>
          <w:p w14:paraId="290DE9EB">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年初预算</w:t>
            </w:r>
          </w:p>
        </w:tc>
        <w:tc>
          <w:tcPr>
            <w:tcW w:w="1334" w:type="dxa"/>
            <w:tcBorders>
              <w:top w:val="nil"/>
              <w:left w:val="nil"/>
              <w:bottom w:val="single" w:color="auto" w:sz="4" w:space="0"/>
              <w:right w:val="single" w:color="auto" w:sz="4" w:space="0"/>
            </w:tcBorders>
            <w:shd w:val="clear" w:color="auto" w:fill="auto"/>
            <w:vAlign w:val="center"/>
          </w:tcPr>
          <w:p w14:paraId="6FCB80AA">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年终决算</w:t>
            </w:r>
          </w:p>
        </w:tc>
        <w:tc>
          <w:tcPr>
            <w:tcW w:w="704" w:type="dxa"/>
            <w:tcBorders>
              <w:top w:val="nil"/>
              <w:left w:val="nil"/>
              <w:bottom w:val="single" w:color="auto" w:sz="4" w:space="0"/>
              <w:right w:val="single" w:color="auto" w:sz="4" w:space="0"/>
            </w:tcBorders>
            <w:shd w:val="clear" w:color="000000" w:fill="FFFFFF"/>
            <w:vAlign w:val="center"/>
          </w:tcPr>
          <w:p w14:paraId="7BD09B6A">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年初预算</w:t>
            </w:r>
          </w:p>
        </w:tc>
        <w:tc>
          <w:tcPr>
            <w:tcW w:w="1321" w:type="dxa"/>
            <w:tcBorders>
              <w:top w:val="nil"/>
              <w:left w:val="nil"/>
              <w:bottom w:val="single" w:color="auto" w:sz="4" w:space="0"/>
              <w:right w:val="single" w:color="auto" w:sz="4" w:space="0"/>
            </w:tcBorders>
            <w:shd w:val="clear" w:color="auto" w:fill="auto"/>
            <w:vAlign w:val="center"/>
          </w:tcPr>
          <w:p w14:paraId="5A7CFFEB">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年终决算</w:t>
            </w:r>
          </w:p>
        </w:tc>
        <w:tc>
          <w:tcPr>
            <w:tcW w:w="1394" w:type="dxa"/>
            <w:tcBorders>
              <w:top w:val="nil"/>
              <w:left w:val="nil"/>
              <w:bottom w:val="single" w:color="auto" w:sz="4" w:space="0"/>
              <w:right w:val="single" w:color="auto" w:sz="4" w:space="0"/>
            </w:tcBorders>
            <w:shd w:val="clear" w:color="auto" w:fill="auto"/>
            <w:vAlign w:val="center"/>
          </w:tcPr>
          <w:p w14:paraId="57D5C380">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预决算对比（超支为正）</w:t>
            </w:r>
          </w:p>
        </w:tc>
      </w:tr>
      <w:tr w14:paraId="0DA52030">
        <w:tblPrEx>
          <w:tblCellMar>
            <w:top w:w="0" w:type="dxa"/>
            <w:left w:w="108" w:type="dxa"/>
            <w:bottom w:w="0" w:type="dxa"/>
            <w:right w:w="108" w:type="dxa"/>
          </w:tblCellMar>
        </w:tblPrEx>
        <w:trPr>
          <w:trHeight w:val="340" w:hRule="exact"/>
        </w:trPr>
        <w:tc>
          <w:tcPr>
            <w:tcW w:w="5535"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644B3500">
            <w:pPr>
              <w:widowControl/>
              <w:ind w:firstLine="400" w:firstLineChars="200"/>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合计</w:t>
            </w:r>
          </w:p>
        </w:tc>
        <w:tc>
          <w:tcPr>
            <w:tcW w:w="1227" w:type="dxa"/>
            <w:tcBorders>
              <w:top w:val="nil"/>
              <w:left w:val="nil"/>
              <w:bottom w:val="single" w:color="auto" w:sz="4" w:space="0"/>
              <w:right w:val="single" w:color="auto" w:sz="4" w:space="0"/>
            </w:tcBorders>
            <w:shd w:val="clear" w:color="000000" w:fill="FFFFFF"/>
            <w:vAlign w:val="center"/>
          </w:tcPr>
          <w:p w14:paraId="24FE843B">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640.82</w:t>
            </w:r>
          </w:p>
        </w:tc>
        <w:tc>
          <w:tcPr>
            <w:tcW w:w="1508" w:type="dxa"/>
            <w:tcBorders>
              <w:top w:val="nil"/>
              <w:left w:val="nil"/>
              <w:bottom w:val="single" w:color="auto" w:sz="4" w:space="0"/>
              <w:right w:val="single" w:color="auto" w:sz="4" w:space="0"/>
            </w:tcBorders>
            <w:shd w:val="clear" w:color="000000" w:fill="FFFFFF"/>
            <w:vAlign w:val="center"/>
          </w:tcPr>
          <w:p w14:paraId="467940C3">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773.63</w:t>
            </w:r>
          </w:p>
        </w:tc>
        <w:tc>
          <w:tcPr>
            <w:tcW w:w="1151" w:type="dxa"/>
            <w:tcBorders>
              <w:top w:val="nil"/>
              <w:left w:val="nil"/>
              <w:bottom w:val="single" w:color="auto" w:sz="4" w:space="0"/>
              <w:right w:val="single" w:color="auto" w:sz="4" w:space="0"/>
            </w:tcBorders>
            <w:shd w:val="clear" w:color="000000" w:fill="FFFFFF"/>
            <w:vAlign w:val="center"/>
          </w:tcPr>
          <w:p w14:paraId="48B7A0D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325.00</w:t>
            </w:r>
          </w:p>
        </w:tc>
        <w:tc>
          <w:tcPr>
            <w:tcW w:w="1334" w:type="dxa"/>
            <w:tcBorders>
              <w:top w:val="nil"/>
              <w:left w:val="nil"/>
              <w:bottom w:val="single" w:color="auto" w:sz="4" w:space="0"/>
              <w:right w:val="single" w:color="auto" w:sz="4" w:space="0"/>
            </w:tcBorders>
            <w:shd w:val="clear" w:color="000000" w:fill="FFFFFF"/>
            <w:vAlign w:val="center"/>
          </w:tcPr>
          <w:p w14:paraId="189463C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304.05 </w:t>
            </w:r>
          </w:p>
        </w:tc>
        <w:tc>
          <w:tcPr>
            <w:tcW w:w="704" w:type="dxa"/>
            <w:tcBorders>
              <w:top w:val="nil"/>
              <w:left w:val="nil"/>
              <w:bottom w:val="single" w:color="auto" w:sz="4" w:space="0"/>
              <w:right w:val="single" w:color="auto" w:sz="4" w:space="0"/>
            </w:tcBorders>
            <w:shd w:val="clear" w:color="000000" w:fill="FFFFFF"/>
            <w:vAlign w:val="center"/>
          </w:tcPr>
          <w:p w14:paraId="52F15E4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965.82</w:t>
            </w:r>
          </w:p>
        </w:tc>
        <w:tc>
          <w:tcPr>
            <w:tcW w:w="1321" w:type="dxa"/>
            <w:tcBorders>
              <w:top w:val="nil"/>
              <w:left w:val="nil"/>
              <w:bottom w:val="single" w:color="auto" w:sz="4" w:space="0"/>
              <w:right w:val="single" w:color="auto" w:sz="4" w:space="0"/>
            </w:tcBorders>
            <w:shd w:val="clear" w:color="000000" w:fill="FFFFFF"/>
            <w:vAlign w:val="center"/>
          </w:tcPr>
          <w:p w14:paraId="359B903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1,077.68</w:t>
            </w:r>
          </w:p>
        </w:tc>
        <w:tc>
          <w:tcPr>
            <w:tcW w:w="1394" w:type="dxa"/>
            <w:tcBorders>
              <w:top w:val="nil"/>
              <w:left w:val="nil"/>
              <w:bottom w:val="single" w:color="auto" w:sz="4" w:space="0"/>
              <w:right w:val="single" w:color="auto" w:sz="4" w:space="0"/>
            </w:tcBorders>
            <w:shd w:val="clear" w:color="000000" w:fill="FFFFFF"/>
            <w:vAlign w:val="center"/>
          </w:tcPr>
          <w:p w14:paraId="3602445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111.86</w:t>
            </w:r>
          </w:p>
        </w:tc>
      </w:tr>
      <w:tr w14:paraId="05FF3DFA">
        <w:tblPrEx>
          <w:tblCellMar>
            <w:top w:w="0" w:type="dxa"/>
            <w:left w:w="108" w:type="dxa"/>
            <w:bottom w:w="0" w:type="dxa"/>
            <w:right w:w="108" w:type="dxa"/>
          </w:tblCellMar>
        </w:tblPrEx>
        <w:trPr>
          <w:trHeight w:val="340" w:hRule="exact"/>
        </w:trPr>
        <w:tc>
          <w:tcPr>
            <w:tcW w:w="2083" w:type="dxa"/>
            <w:vMerge w:val="restart"/>
            <w:tcBorders>
              <w:top w:val="nil"/>
              <w:left w:val="single" w:color="auto" w:sz="4" w:space="0"/>
              <w:bottom w:val="single" w:color="auto" w:sz="4" w:space="0"/>
              <w:right w:val="single" w:color="auto" w:sz="4" w:space="0"/>
            </w:tcBorders>
            <w:shd w:val="clear" w:color="000000" w:fill="FFFFFF"/>
            <w:vAlign w:val="center"/>
          </w:tcPr>
          <w:p w14:paraId="6B9E34F3">
            <w:pPr>
              <w:widowControl/>
              <w:ind w:firstLine="400" w:firstLineChars="200"/>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工资福利支出</w:t>
            </w:r>
          </w:p>
        </w:tc>
        <w:tc>
          <w:tcPr>
            <w:tcW w:w="3452" w:type="dxa"/>
            <w:tcBorders>
              <w:top w:val="nil"/>
              <w:left w:val="nil"/>
              <w:bottom w:val="single" w:color="auto" w:sz="4" w:space="0"/>
              <w:right w:val="single" w:color="auto" w:sz="4" w:space="0"/>
            </w:tcBorders>
            <w:shd w:val="clear" w:color="auto" w:fill="auto"/>
            <w:vAlign w:val="center"/>
          </w:tcPr>
          <w:p w14:paraId="63EFCC95">
            <w:pPr>
              <w:widowControl/>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小计</w:t>
            </w:r>
          </w:p>
        </w:tc>
        <w:tc>
          <w:tcPr>
            <w:tcW w:w="1227" w:type="dxa"/>
            <w:tcBorders>
              <w:top w:val="nil"/>
              <w:left w:val="nil"/>
              <w:bottom w:val="single" w:color="auto" w:sz="4" w:space="0"/>
              <w:right w:val="single" w:color="auto" w:sz="4" w:space="0"/>
            </w:tcBorders>
            <w:shd w:val="clear" w:color="auto" w:fill="auto"/>
            <w:vAlign w:val="center"/>
          </w:tcPr>
          <w:p w14:paraId="4137A9BA">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528.59</w:t>
            </w:r>
          </w:p>
        </w:tc>
        <w:tc>
          <w:tcPr>
            <w:tcW w:w="1508" w:type="dxa"/>
            <w:tcBorders>
              <w:top w:val="nil"/>
              <w:left w:val="nil"/>
              <w:bottom w:val="single" w:color="auto" w:sz="4" w:space="0"/>
              <w:right w:val="single" w:color="auto" w:sz="4" w:space="0"/>
            </w:tcBorders>
            <w:shd w:val="clear" w:color="auto" w:fill="auto"/>
            <w:vAlign w:val="center"/>
          </w:tcPr>
          <w:p w14:paraId="32925793">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686.59</w:t>
            </w:r>
          </w:p>
        </w:tc>
        <w:tc>
          <w:tcPr>
            <w:tcW w:w="1151" w:type="dxa"/>
            <w:tcBorders>
              <w:top w:val="nil"/>
              <w:left w:val="nil"/>
              <w:bottom w:val="single" w:color="auto" w:sz="4" w:space="0"/>
              <w:right w:val="single" w:color="auto" w:sz="4" w:space="0"/>
            </w:tcBorders>
            <w:shd w:val="clear" w:color="auto" w:fill="auto"/>
            <w:vAlign w:val="center"/>
          </w:tcPr>
          <w:p w14:paraId="4D275CC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1B673D3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20.99 </w:t>
            </w:r>
          </w:p>
        </w:tc>
        <w:tc>
          <w:tcPr>
            <w:tcW w:w="704" w:type="dxa"/>
            <w:tcBorders>
              <w:top w:val="nil"/>
              <w:left w:val="nil"/>
              <w:bottom w:val="single" w:color="auto" w:sz="4" w:space="0"/>
              <w:right w:val="single" w:color="auto" w:sz="4" w:space="0"/>
            </w:tcBorders>
            <w:shd w:val="clear" w:color="000000" w:fill="FFFFFF"/>
            <w:vAlign w:val="center"/>
          </w:tcPr>
          <w:p w14:paraId="75ED8AFC">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528.59</w:t>
            </w:r>
          </w:p>
        </w:tc>
        <w:tc>
          <w:tcPr>
            <w:tcW w:w="1321" w:type="dxa"/>
            <w:tcBorders>
              <w:top w:val="nil"/>
              <w:left w:val="nil"/>
              <w:bottom w:val="single" w:color="auto" w:sz="4" w:space="0"/>
              <w:right w:val="single" w:color="auto" w:sz="4" w:space="0"/>
            </w:tcBorders>
            <w:shd w:val="clear" w:color="000000" w:fill="FFFFFF"/>
            <w:vAlign w:val="center"/>
          </w:tcPr>
          <w:p w14:paraId="4756DCC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707.58</w:t>
            </w:r>
          </w:p>
        </w:tc>
        <w:tc>
          <w:tcPr>
            <w:tcW w:w="1394" w:type="dxa"/>
            <w:tcBorders>
              <w:top w:val="nil"/>
              <w:left w:val="nil"/>
              <w:bottom w:val="single" w:color="auto" w:sz="4" w:space="0"/>
              <w:right w:val="single" w:color="auto" w:sz="4" w:space="0"/>
            </w:tcBorders>
            <w:shd w:val="clear" w:color="000000" w:fill="FFFFFF"/>
            <w:vAlign w:val="center"/>
          </w:tcPr>
          <w:p w14:paraId="626E2DB9">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178.99</w:t>
            </w:r>
          </w:p>
        </w:tc>
      </w:tr>
      <w:tr w14:paraId="3A55FA43">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0CF63785">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6A833382">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基本工资</w:t>
            </w:r>
          </w:p>
        </w:tc>
        <w:tc>
          <w:tcPr>
            <w:tcW w:w="1227" w:type="dxa"/>
            <w:tcBorders>
              <w:top w:val="nil"/>
              <w:left w:val="nil"/>
              <w:bottom w:val="single" w:color="auto" w:sz="4" w:space="0"/>
              <w:right w:val="single" w:color="auto" w:sz="4" w:space="0"/>
            </w:tcBorders>
            <w:shd w:val="clear" w:color="auto" w:fill="auto"/>
            <w:vAlign w:val="center"/>
          </w:tcPr>
          <w:p w14:paraId="629BBA3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106.94</w:t>
            </w:r>
          </w:p>
        </w:tc>
        <w:tc>
          <w:tcPr>
            <w:tcW w:w="1508" w:type="dxa"/>
            <w:tcBorders>
              <w:top w:val="nil"/>
              <w:left w:val="nil"/>
              <w:bottom w:val="single" w:color="auto" w:sz="4" w:space="0"/>
              <w:right w:val="single" w:color="auto" w:sz="4" w:space="0"/>
            </w:tcBorders>
            <w:shd w:val="clear" w:color="auto" w:fill="auto"/>
            <w:vAlign w:val="center"/>
          </w:tcPr>
          <w:p w14:paraId="12B268A3">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110.48</w:t>
            </w:r>
          </w:p>
        </w:tc>
        <w:tc>
          <w:tcPr>
            <w:tcW w:w="1151" w:type="dxa"/>
            <w:tcBorders>
              <w:top w:val="nil"/>
              <w:left w:val="nil"/>
              <w:bottom w:val="single" w:color="auto" w:sz="4" w:space="0"/>
              <w:right w:val="single" w:color="auto" w:sz="4" w:space="0"/>
            </w:tcBorders>
            <w:shd w:val="clear" w:color="auto" w:fill="auto"/>
            <w:vAlign w:val="center"/>
          </w:tcPr>
          <w:p w14:paraId="2760C573">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4F5BBFD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0.00 </w:t>
            </w:r>
          </w:p>
        </w:tc>
        <w:tc>
          <w:tcPr>
            <w:tcW w:w="704" w:type="dxa"/>
            <w:tcBorders>
              <w:top w:val="nil"/>
              <w:left w:val="nil"/>
              <w:bottom w:val="single" w:color="auto" w:sz="4" w:space="0"/>
              <w:right w:val="single" w:color="auto" w:sz="4" w:space="0"/>
            </w:tcBorders>
            <w:shd w:val="clear" w:color="000000" w:fill="FFFFFF"/>
            <w:vAlign w:val="center"/>
          </w:tcPr>
          <w:p w14:paraId="42AE535B">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106.94</w:t>
            </w:r>
          </w:p>
        </w:tc>
        <w:tc>
          <w:tcPr>
            <w:tcW w:w="1321" w:type="dxa"/>
            <w:tcBorders>
              <w:top w:val="nil"/>
              <w:left w:val="nil"/>
              <w:bottom w:val="single" w:color="auto" w:sz="4" w:space="0"/>
              <w:right w:val="single" w:color="auto" w:sz="4" w:space="0"/>
            </w:tcBorders>
            <w:shd w:val="clear" w:color="000000" w:fill="FFFFFF"/>
            <w:vAlign w:val="center"/>
          </w:tcPr>
          <w:p w14:paraId="621739E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110.48</w:t>
            </w:r>
          </w:p>
        </w:tc>
        <w:tc>
          <w:tcPr>
            <w:tcW w:w="1394" w:type="dxa"/>
            <w:tcBorders>
              <w:top w:val="nil"/>
              <w:left w:val="nil"/>
              <w:bottom w:val="single" w:color="auto" w:sz="4" w:space="0"/>
              <w:right w:val="single" w:color="auto" w:sz="4" w:space="0"/>
            </w:tcBorders>
            <w:shd w:val="clear" w:color="000000" w:fill="FFFFFF"/>
            <w:vAlign w:val="center"/>
          </w:tcPr>
          <w:p w14:paraId="0AE4B55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3.54</w:t>
            </w:r>
          </w:p>
        </w:tc>
      </w:tr>
      <w:tr w14:paraId="0F7BAFF9">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106D61BF">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7CBC13E7">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津贴补贴</w:t>
            </w:r>
          </w:p>
        </w:tc>
        <w:tc>
          <w:tcPr>
            <w:tcW w:w="1227" w:type="dxa"/>
            <w:tcBorders>
              <w:top w:val="nil"/>
              <w:left w:val="nil"/>
              <w:bottom w:val="single" w:color="auto" w:sz="4" w:space="0"/>
              <w:right w:val="single" w:color="auto" w:sz="4" w:space="0"/>
            </w:tcBorders>
            <w:shd w:val="clear" w:color="auto" w:fill="auto"/>
            <w:vAlign w:val="center"/>
          </w:tcPr>
          <w:p w14:paraId="79066E2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102.47</w:t>
            </w:r>
          </w:p>
        </w:tc>
        <w:tc>
          <w:tcPr>
            <w:tcW w:w="1508" w:type="dxa"/>
            <w:tcBorders>
              <w:top w:val="nil"/>
              <w:left w:val="nil"/>
              <w:bottom w:val="single" w:color="auto" w:sz="4" w:space="0"/>
              <w:right w:val="single" w:color="auto" w:sz="4" w:space="0"/>
            </w:tcBorders>
            <w:shd w:val="clear" w:color="auto" w:fill="auto"/>
            <w:vAlign w:val="center"/>
          </w:tcPr>
          <w:p w14:paraId="2554D81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124.02</w:t>
            </w:r>
          </w:p>
        </w:tc>
        <w:tc>
          <w:tcPr>
            <w:tcW w:w="1151" w:type="dxa"/>
            <w:tcBorders>
              <w:top w:val="nil"/>
              <w:left w:val="nil"/>
              <w:bottom w:val="single" w:color="auto" w:sz="4" w:space="0"/>
              <w:right w:val="single" w:color="auto" w:sz="4" w:space="0"/>
            </w:tcBorders>
            <w:shd w:val="clear" w:color="auto" w:fill="auto"/>
            <w:vAlign w:val="center"/>
          </w:tcPr>
          <w:p w14:paraId="2FE22D9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52B35A4D">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3.30 </w:t>
            </w:r>
          </w:p>
        </w:tc>
        <w:tc>
          <w:tcPr>
            <w:tcW w:w="704" w:type="dxa"/>
            <w:tcBorders>
              <w:top w:val="nil"/>
              <w:left w:val="nil"/>
              <w:bottom w:val="single" w:color="auto" w:sz="4" w:space="0"/>
              <w:right w:val="single" w:color="auto" w:sz="4" w:space="0"/>
            </w:tcBorders>
            <w:shd w:val="clear" w:color="000000" w:fill="FFFFFF"/>
            <w:vAlign w:val="center"/>
          </w:tcPr>
          <w:p w14:paraId="7667938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102.47</w:t>
            </w:r>
          </w:p>
        </w:tc>
        <w:tc>
          <w:tcPr>
            <w:tcW w:w="1321" w:type="dxa"/>
            <w:tcBorders>
              <w:top w:val="nil"/>
              <w:left w:val="nil"/>
              <w:bottom w:val="single" w:color="auto" w:sz="4" w:space="0"/>
              <w:right w:val="single" w:color="auto" w:sz="4" w:space="0"/>
            </w:tcBorders>
            <w:shd w:val="clear" w:color="000000" w:fill="FFFFFF"/>
            <w:vAlign w:val="center"/>
          </w:tcPr>
          <w:p w14:paraId="6F872FA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127.32</w:t>
            </w:r>
          </w:p>
        </w:tc>
        <w:tc>
          <w:tcPr>
            <w:tcW w:w="1394" w:type="dxa"/>
            <w:tcBorders>
              <w:top w:val="nil"/>
              <w:left w:val="nil"/>
              <w:bottom w:val="single" w:color="auto" w:sz="4" w:space="0"/>
              <w:right w:val="single" w:color="auto" w:sz="4" w:space="0"/>
            </w:tcBorders>
            <w:shd w:val="clear" w:color="000000" w:fill="FFFFFF"/>
            <w:vAlign w:val="center"/>
          </w:tcPr>
          <w:p w14:paraId="1DF8C02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24.85</w:t>
            </w:r>
          </w:p>
        </w:tc>
      </w:tr>
      <w:tr w14:paraId="14A4D59C">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688C3242">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779810E1">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奖金</w:t>
            </w:r>
          </w:p>
        </w:tc>
        <w:tc>
          <w:tcPr>
            <w:tcW w:w="1227" w:type="dxa"/>
            <w:tcBorders>
              <w:top w:val="nil"/>
              <w:left w:val="nil"/>
              <w:bottom w:val="single" w:color="auto" w:sz="4" w:space="0"/>
              <w:right w:val="single" w:color="auto" w:sz="4" w:space="0"/>
            </w:tcBorders>
            <w:shd w:val="clear" w:color="auto" w:fill="auto"/>
            <w:vAlign w:val="center"/>
          </w:tcPr>
          <w:p w14:paraId="1CB0592B">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61.04</w:t>
            </w:r>
          </w:p>
        </w:tc>
        <w:tc>
          <w:tcPr>
            <w:tcW w:w="1508" w:type="dxa"/>
            <w:tcBorders>
              <w:top w:val="nil"/>
              <w:left w:val="nil"/>
              <w:bottom w:val="single" w:color="auto" w:sz="4" w:space="0"/>
              <w:right w:val="single" w:color="auto" w:sz="4" w:space="0"/>
            </w:tcBorders>
            <w:shd w:val="clear" w:color="auto" w:fill="auto"/>
            <w:vAlign w:val="center"/>
          </w:tcPr>
          <w:p w14:paraId="27B3C1B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228.01</w:t>
            </w:r>
          </w:p>
        </w:tc>
        <w:tc>
          <w:tcPr>
            <w:tcW w:w="1151" w:type="dxa"/>
            <w:tcBorders>
              <w:top w:val="nil"/>
              <w:left w:val="nil"/>
              <w:bottom w:val="single" w:color="auto" w:sz="4" w:space="0"/>
              <w:right w:val="single" w:color="auto" w:sz="4" w:space="0"/>
            </w:tcBorders>
            <w:shd w:val="clear" w:color="auto" w:fill="auto"/>
            <w:vAlign w:val="center"/>
          </w:tcPr>
          <w:p w14:paraId="1310258B">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3CADA3C3">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8.60 </w:t>
            </w:r>
          </w:p>
        </w:tc>
        <w:tc>
          <w:tcPr>
            <w:tcW w:w="704" w:type="dxa"/>
            <w:tcBorders>
              <w:top w:val="nil"/>
              <w:left w:val="nil"/>
              <w:bottom w:val="single" w:color="auto" w:sz="4" w:space="0"/>
              <w:right w:val="single" w:color="auto" w:sz="4" w:space="0"/>
            </w:tcBorders>
            <w:shd w:val="clear" w:color="000000" w:fill="FFFFFF"/>
            <w:vAlign w:val="center"/>
          </w:tcPr>
          <w:p w14:paraId="7A9E43A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61.04</w:t>
            </w:r>
          </w:p>
        </w:tc>
        <w:tc>
          <w:tcPr>
            <w:tcW w:w="1321" w:type="dxa"/>
            <w:tcBorders>
              <w:top w:val="nil"/>
              <w:left w:val="nil"/>
              <w:bottom w:val="single" w:color="auto" w:sz="4" w:space="0"/>
              <w:right w:val="single" w:color="auto" w:sz="4" w:space="0"/>
            </w:tcBorders>
            <w:shd w:val="clear" w:color="000000" w:fill="FFFFFF"/>
            <w:vAlign w:val="center"/>
          </w:tcPr>
          <w:p w14:paraId="796528E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236.61</w:t>
            </w:r>
          </w:p>
        </w:tc>
        <w:tc>
          <w:tcPr>
            <w:tcW w:w="1394" w:type="dxa"/>
            <w:tcBorders>
              <w:top w:val="nil"/>
              <w:left w:val="nil"/>
              <w:bottom w:val="single" w:color="auto" w:sz="4" w:space="0"/>
              <w:right w:val="single" w:color="auto" w:sz="4" w:space="0"/>
            </w:tcBorders>
            <w:shd w:val="clear" w:color="000000" w:fill="FFFFFF"/>
            <w:vAlign w:val="center"/>
          </w:tcPr>
          <w:p w14:paraId="727E6A9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175.57</w:t>
            </w:r>
          </w:p>
        </w:tc>
      </w:tr>
      <w:tr w14:paraId="30075800">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5AB1FB71">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2E4CE79A">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机关事业单位基本养老保险缴费</w:t>
            </w:r>
          </w:p>
        </w:tc>
        <w:tc>
          <w:tcPr>
            <w:tcW w:w="1227" w:type="dxa"/>
            <w:tcBorders>
              <w:top w:val="nil"/>
              <w:left w:val="nil"/>
              <w:bottom w:val="single" w:color="auto" w:sz="4" w:space="0"/>
              <w:right w:val="single" w:color="auto" w:sz="4" w:space="0"/>
            </w:tcBorders>
            <w:shd w:val="clear" w:color="auto" w:fill="auto"/>
            <w:vAlign w:val="center"/>
          </w:tcPr>
          <w:p w14:paraId="202C072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45.34</w:t>
            </w:r>
          </w:p>
        </w:tc>
        <w:tc>
          <w:tcPr>
            <w:tcW w:w="1508" w:type="dxa"/>
            <w:tcBorders>
              <w:top w:val="nil"/>
              <w:left w:val="nil"/>
              <w:bottom w:val="single" w:color="auto" w:sz="4" w:space="0"/>
              <w:right w:val="single" w:color="auto" w:sz="4" w:space="0"/>
            </w:tcBorders>
            <w:shd w:val="clear" w:color="auto" w:fill="auto"/>
            <w:vAlign w:val="center"/>
          </w:tcPr>
          <w:p w14:paraId="290CEA8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105.33</w:t>
            </w:r>
          </w:p>
        </w:tc>
        <w:tc>
          <w:tcPr>
            <w:tcW w:w="1151" w:type="dxa"/>
            <w:tcBorders>
              <w:top w:val="nil"/>
              <w:left w:val="nil"/>
              <w:bottom w:val="single" w:color="auto" w:sz="4" w:space="0"/>
              <w:right w:val="single" w:color="auto" w:sz="4" w:space="0"/>
            </w:tcBorders>
            <w:shd w:val="clear" w:color="auto" w:fill="auto"/>
            <w:vAlign w:val="center"/>
          </w:tcPr>
          <w:p w14:paraId="342C298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77C73DDC">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8.61 </w:t>
            </w:r>
          </w:p>
        </w:tc>
        <w:tc>
          <w:tcPr>
            <w:tcW w:w="704" w:type="dxa"/>
            <w:tcBorders>
              <w:top w:val="nil"/>
              <w:left w:val="nil"/>
              <w:bottom w:val="single" w:color="auto" w:sz="4" w:space="0"/>
              <w:right w:val="single" w:color="auto" w:sz="4" w:space="0"/>
            </w:tcBorders>
            <w:shd w:val="clear" w:color="000000" w:fill="FFFFFF"/>
            <w:vAlign w:val="center"/>
          </w:tcPr>
          <w:p w14:paraId="50313039">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45.34</w:t>
            </w:r>
          </w:p>
        </w:tc>
        <w:tc>
          <w:tcPr>
            <w:tcW w:w="1321" w:type="dxa"/>
            <w:tcBorders>
              <w:top w:val="nil"/>
              <w:left w:val="nil"/>
              <w:bottom w:val="single" w:color="auto" w:sz="4" w:space="0"/>
              <w:right w:val="single" w:color="auto" w:sz="4" w:space="0"/>
            </w:tcBorders>
            <w:shd w:val="clear" w:color="000000" w:fill="FFFFFF"/>
            <w:vAlign w:val="center"/>
          </w:tcPr>
          <w:p w14:paraId="657DA0E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113.94</w:t>
            </w:r>
          </w:p>
        </w:tc>
        <w:tc>
          <w:tcPr>
            <w:tcW w:w="1394" w:type="dxa"/>
            <w:tcBorders>
              <w:top w:val="nil"/>
              <w:left w:val="nil"/>
              <w:bottom w:val="single" w:color="auto" w:sz="4" w:space="0"/>
              <w:right w:val="single" w:color="auto" w:sz="4" w:space="0"/>
            </w:tcBorders>
            <w:shd w:val="clear" w:color="000000" w:fill="FFFFFF"/>
            <w:vAlign w:val="center"/>
          </w:tcPr>
          <w:p w14:paraId="0F1155C2">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68.60</w:t>
            </w:r>
          </w:p>
        </w:tc>
      </w:tr>
      <w:tr w14:paraId="3CDDBAC4">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3AA7311C">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266157D3">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职工基本医疗保险缴费</w:t>
            </w:r>
          </w:p>
        </w:tc>
        <w:tc>
          <w:tcPr>
            <w:tcW w:w="1227" w:type="dxa"/>
            <w:tcBorders>
              <w:top w:val="nil"/>
              <w:left w:val="nil"/>
              <w:bottom w:val="single" w:color="auto" w:sz="4" w:space="0"/>
              <w:right w:val="single" w:color="auto" w:sz="4" w:space="0"/>
            </w:tcBorders>
            <w:shd w:val="clear" w:color="auto" w:fill="auto"/>
            <w:vAlign w:val="center"/>
          </w:tcPr>
          <w:p w14:paraId="48B79BE2">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18.14</w:t>
            </w:r>
          </w:p>
        </w:tc>
        <w:tc>
          <w:tcPr>
            <w:tcW w:w="1508" w:type="dxa"/>
            <w:tcBorders>
              <w:top w:val="nil"/>
              <w:left w:val="nil"/>
              <w:bottom w:val="single" w:color="auto" w:sz="4" w:space="0"/>
              <w:right w:val="single" w:color="auto" w:sz="4" w:space="0"/>
            </w:tcBorders>
            <w:shd w:val="clear" w:color="auto" w:fill="auto"/>
            <w:vAlign w:val="center"/>
          </w:tcPr>
          <w:p w14:paraId="2376C8F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0.90</w:t>
            </w:r>
          </w:p>
        </w:tc>
        <w:tc>
          <w:tcPr>
            <w:tcW w:w="1151" w:type="dxa"/>
            <w:tcBorders>
              <w:top w:val="nil"/>
              <w:left w:val="nil"/>
              <w:bottom w:val="single" w:color="auto" w:sz="4" w:space="0"/>
              <w:right w:val="single" w:color="auto" w:sz="4" w:space="0"/>
            </w:tcBorders>
            <w:shd w:val="clear" w:color="auto" w:fill="auto"/>
            <w:vAlign w:val="center"/>
          </w:tcPr>
          <w:p w14:paraId="51F56F1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520BE20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0.24 </w:t>
            </w:r>
          </w:p>
        </w:tc>
        <w:tc>
          <w:tcPr>
            <w:tcW w:w="704" w:type="dxa"/>
            <w:tcBorders>
              <w:top w:val="nil"/>
              <w:left w:val="nil"/>
              <w:bottom w:val="single" w:color="auto" w:sz="4" w:space="0"/>
              <w:right w:val="single" w:color="auto" w:sz="4" w:space="0"/>
            </w:tcBorders>
            <w:shd w:val="clear" w:color="000000" w:fill="FFFFFF"/>
            <w:vAlign w:val="center"/>
          </w:tcPr>
          <w:p w14:paraId="2F49845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18.14</w:t>
            </w:r>
          </w:p>
        </w:tc>
        <w:tc>
          <w:tcPr>
            <w:tcW w:w="1321" w:type="dxa"/>
            <w:tcBorders>
              <w:top w:val="nil"/>
              <w:left w:val="nil"/>
              <w:bottom w:val="single" w:color="auto" w:sz="4" w:space="0"/>
              <w:right w:val="single" w:color="auto" w:sz="4" w:space="0"/>
            </w:tcBorders>
            <w:shd w:val="clear" w:color="000000" w:fill="FFFFFF"/>
            <w:vAlign w:val="center"/>
          </w:tcPr>
          <w:p w14:paraId="35054D4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1.14</w:t>
            </w:r>
          </w:p>
        </w:tc>
        <w:tc>
          <w:tcPr>
            <w:tcW w:w="1394" w:type="dxa"/>
            <w:tcBorders>
              <w:top w:val="nil"/>
              <w:left w:val="nil"/>
              <w:bottom w:val="single" w:color="auto" w:sz="4" w:space="0"/>
              <w:right w:val="single" w:color="auto" w:sz="4" w:space="0"/>
            </w:tcBorders>
            <w:shd w:val="clear" w:color="000000" w:fill="FFFFFF"/>
            <w:vAlign w:val="center"/>
          </w:tcPr>
          <w:p w14:paraId="5D7DC60B">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-17.00</w:t>
            </w:r>
          </w:p>
        </w:tc>
      </w:tr>
      <w:tr w14:paraId="26D8806F">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1BBE3D83">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753DE30D">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公务员医疗补助缴费</w:t>
            </w:r>
          </w:p>
        </w:tc>
        <w:tc>
          <w:tcPr>
            <w:tcW w:w="1227" w:type="dxa"/>
            <w:tcBorders>
              <w:top w:val="nil"/>
              <w:left w:val="nil"/>
              <w:bottom w:val="single" w:color="auto" w:sz="4" w:space="0"/>
              <w:right w:val="single" w:color="auto" w:sz="4" w:space="0"/>
            </w:tcBorders>
            <w:shd w:val="clear" w:color="auto" w:fill="auto"/>
            <w:vAlign w:val="center"/>
          </w:tcPr>
          <w:p w14:paraId="520F89E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33.31</w:t>
            </w:r>
          </w:p>
        </w:tc>
        <w:tc>
          <w:tcPr>
            <w:tcW w:w="1508" w:type="dxa"/>
            <w:tcBorders>
              <w:top w:val="nil"/>
              <w:left w:val="nil"/>
              <w:bottom w:val="single" w:color="auto" w:sz="4" w:space="0"/>
              <w:right w:val="single" w:color="auto" w:sz="4" w:space="0"/>
            </w:tcBorders>
            <w:shd w:val="clear" w:color="auto" w:fill="auto"/>
            <w:vAlign w:val="center"/>
          </w:tcPr>
          <w:p w14:paraId="7AD9CEB3">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19.83</w:t>
            </w:r>
          </w:p>
        </w:tc>
        <w:tc>
          <w:tcPr>
            <w:tcW w:w="1151" w:type="dxa"/>
            <w:tcBorders>
              <w:top w:val="nil"/>
              <w:left w:val="nil"/>
              <w:bottom w:val="single" w:color="auto" w:sz="4" w:space="0"/>
              <w:right w:val="single" w:color="auto" w:sz="4" w:space="0"/>
            </w:tcBorders>
            <w:shd w:val="clear" w:color="auto" w:fill="auto"/>
            <w:vAlign w:val="center"/>
          </w:tcPr>
          <w:p w14:paraId="7800455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3268E38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704" w:type="dxa"/>
            <w:tcBorders>
              <w:top w:val="nil"/>
              <w:left w:val="nil"/>
              <w:bottom w:val="single" w:color="auto" w:sz="4" w:space="0"/>
              <w:right w:val="single" w:color="auto" w:sz="4" w:space="0"/>
            </w:tcBorders>
            <w:shd w:val="clear" w:color="000000" w:fill="FFFFFF"/>
            <w:vAlign w:val="center"/>
          </w:tcPr>
          <w:p w14:paraId="6EEB6489">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33.31</w:t>
            </w:r>
          </w:p>
        </w:tc>
        <w:tc>
          <w:tcPr>
            <w:tcW w:w="1321" w:type="dxa"/>
            <w:tcBorders>
              <w:top w:val="nil"/>
              <w:left w:val="nil"/>
              <w:bottom w:val="single" w:color="auto" w:sz="4" w:space="0"/>
              <w:right w:val="single" w:color="auto" w:sz="4" w:space="0"/>
            </w:tcBorders>
            <w:shd w:val="clear" w:color="000000" w:fill="FFFFFF"/>
            <w:vAlign w:val="center"/>
          </w:tcPr>
          <w:p w14:paraId="280FE30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19.83</w:t>
            </w:r>
          </w:p>
        </w:tc>
        <w:tc>
          <w:tcPr>
            <w:tcW w:w="1394" w:type="dxa"/>
            <w:tcBorders>
              <w:top w:val="nil"/>
              <w:left w:val="nil"/>
              <w:bottom w:val="single" w:color="auto" w:sz="4" w:space="0"/>
              <w:right w:val="single" w:color="auto" w:sz="4" w:space="0"/>
            </w:tcBorders>
            <w:shd w:val="clear" w:color="000000" w:fill="FFFFFF"/>
            <w:vAlign w:val="center"/>
          </w:tcPr>
          <w:p w14:paraId="14018A8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-13.48</w:t>
            </w:r>
          </w:p>
        </w:tc>
      </w:tr>
      <w:tr w14:paraId="72A4F3CC">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2C2146CC">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198D4618">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其他社会保障缴费</w:t>
            </w:r>
          </w:p>
        </w:tc>
        <w:tc>
          <w:tcPr>
            <w:tcW w:w="1227" w:type="dxa"/>
            <w:tcBorders>
              <w:top w:val="nil"/>
              <w:left w:val="nil"/>
              <w:bottom w:val="single" w:color="auto" w:sz="4" w:space="0"/>
              <w:right w:val="single" w:color="auto" w:sz="4" w:space="0"/>
            </w:tcBorders>
            <w:shd w:val="clear" w:color="auto" w:fill="auto"/>
            <w:vAlign w:val="center"/>
          </w:tcPr>
          <w:p w14:paraId="75A97D5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2.37</w:t>
            </w:r>
          </w:p>
        </w:tc>
        <w:tc>
          <w:tcPr>
            <w:tcW w:w="1508" w:type="dxa"/>
            <w:tcBorders>
              <w:top w:val="nil"/>
              <w:left w:val="nil"/>
              <w:bottom w:val="single" w:color="auto" w:sz="4" w:space="0"/>
              <w:right w:val="single" w:color="auto" w:sz="4" w:space="0"/>
            </w:tcBorders>
            <w:shd w:val="clear" w:color="auto" w:fill="auto"/>
            <w:vAlign w:val="center"/>
          </w:tcPr>
          <w:p w14:paraId="1FB0C61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2.93</w:t>
            </w:r>
          </w:p>
        </w:tc>
        <w:tc>
          <w:tcPr>
            <w:tcW w:w="1151" w:type="dxa"/>
            <w:tcBorders>
              <w:top w:val="nil"/>
              <w:left w:val="nil"/>
              <w:bottom w:val="single" w:color="auto" w:sz="4" w:space="0"/>
              <w:right w:val="single" w:color="auto" w:sz="4" w:space="0"/>
            </w:tcBorders>
            <w:shd w:val="clear" w:color="auto" w:fill="auto"/>
            <w:vAlign w:val="center"/>
          </w:tcPr>
          <w:p w14:paraId="2D488AD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6C16D02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704" w:type="dxa"/>
            <w:tcBorders>
              <w:top w:val="nil"/>
              <w:left w:val="nil"/>
              <w:bottom w:val="single" w:color="auto" w:sz="4" w:space="0"/>
              <w:right w:val="single" w:color="auto" w:sz="4" w:space="0"/>
            </w:tcBorders>
            <w:shd w:val="clear" w:color="000000" w:fill="FFFFFF"/>
            <w:vAlign w:val="center"/>
          </w:tcPr>
          <w:p w14:paraId="538B53B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2.37</w:t>
            </w:r>
          </w:p>
        </w:tc>
        <w:tc>
          <w:tcPr>
            <w:tcW w:w="1321" w:type="dxa"/>
            <w:tcBorders>
              <w:top w:val="nil"/>
              <w:left w:val="nil"/>
              <w:bottom w:val="single" w:color="auto" w:sz="4" w:space="0"/>
              <w:right w:val="single" w:color="auto" w:sz="4" w:space="0"/>
            </w:tcBorders>
            <w:shd w:val="clear" w:color="000000" w:fill="FFFFFF"/>
            <w:vAlign w:val="center"/>
          </w:tcPr>
          <w:p w14:paraId="66D1CD3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2.93</w:t>
            </w:r>
          </w:p>
        </w:tc>
        <w:tc>
          <w:tcPr>
            <w:tcW w:w="1394" w:type="dxa"/>
            <w:tcBorders>
              <w:top w:val="nil"/>
              <w:left w:val="nil"/>
              <w:bottom w:val="single" w:color="auto" w:sz="4" w:space="0"/>
              <w:right w:val="single" w:color="auto" w:sz="4" w:space="0"/>
            </w:tcBorders>
            <w:shd w:val="clear" w:color="000000" w:fill="FFFFFF"/>
            <w:vAlign w:val="center"/>
          </w:tcPr>
          <w:p w14:paraId="04F78BE2">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0.56</w:t>
            </w:r>
          </w:p>
        </w:tc>
      </w:tr>
      <w:tr w14:paraId="75713515">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60D3F390">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1E2E7A0D">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住房公积金</w:t>
            </w:r>
          </w:p>
        </w:tc>
        <w:tc>
          <w:tcPr>
            <w:tcW w:w="1227" w:type="dxa"/>
            <w:tcBorders>
              <w:top w:val="nil"/>
              <w:left w:val="nil"/>
              <w:bottom w:val="single" w:color="auto" w:sz="4" w:space="0"/>
              <w:right w:val="single" w:color="auto" w:sz="4" w:space="0"/>
            </w:tcBorders>
            <w:shd w:val="clear" w:color="auto" w:fill="auto"/>
            <w:vAlign w:val="center"/>
          </w:tcPr>
          <w:p w14:paraId="7DCF02FD">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27.20</w:t>
            </w:r>
          </w:p>
        </w:tc>
        <w:tc>
          <w:tcPr>
            <w:tcW w:w="1508" w:type="dxa"/>
            <w:tcBorders>
              <w:top w:val="nil"/>
              <w:left w:val="nil"/>
              <w:bottom w:val="single" w:color="auto" w:sz="4" w:space="0"/>
              <w:right w:val="single" w:color="auto" w:sz="4" w:space="0"/>
            </w:tcBorders>
            <w:shd w:val="clear" w:color="auto" w:fill="auto"/>
            <w:vAlign w:val="center"/>
          </w:tcPr>
          <w:p w14:paraId="1C729C3D">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28.00</w:t>
            </w:r>
          </w:p>
        </w:tc>
        <w:tc>
          <w:tcPr>
            <w:tcW w:w="1151" w:type="dxa"/>
            <w:tcBorders>
              <w:top w:val="nil"/>
              <w:left w:val="nil"/>
              <w:bottom w:val="single" w:color="auto" w:sz="4" w:space="0"/>
              <w:right w:val="single" w:color="auto" w:sz="4" w:space="0"/>
            </w:tcBorders>
            <w:shd w:val="clear" w:color="auto" w:fill="auto"/>
            <w:vAlign w:val="center"/>
          </w:tcPr>
          <w:p w14:paraId="47F27A6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48ACC88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704" w:type="dxa"/>
            <w:tcBorders>
              <w:top w:val="nil"/>
              <w:left w:val="nil"/>
              <w:bottom w:val="single" w:color="auto" w:sz="4" w:space="0"/>
              <w:right w:val="single" w:color="auto" w:sz="4" w:space="0"/>
            </w:tcBorders>
            <w:shd w:val="clear" w:color="000000" w:fill="FFFFFF"/>
            <w:vAlign w:val="center"/>
          </w:tcPr>
          <w:p w14:paraId="197B001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27.20</w:t>
            </w:r>
          </w:p>
        </w:tc>
        <w:tc>
          <w:tcPr>
            <w:tcW w:w="1321" w:type="dxa"/>
            <w:tcBorders>
              <w:top w:val="nil"/>
              <w:left w:val="nil"/>
              <w:bottom w:val="single" w:color="auto" w:sz="4" w:space="0"/>
              <w:right w:val="single" w:color="auto" w:sz="4" w:space="0"/>
            </w:tcBorders>
            <w:shd w:val="clear" w:color="000000" w:fill="FFFFFF"/>
            <w:vAlign w:val="center"/>
          </w:tcPr>
          <w:p w14:paraId="253632F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28.00</w:t>
            </w:r>
          </w:p>
        </w:tc>
        <w:tc>
          <w:tcPr>
            <w:tcW w:w="1394" w:type="dxa"/>
            <w:tcBorders>
              <w:top w:val="nil"/>
              <w:left w:val="nil"/>
              <w:bottom w:val="single" w:color="auto" w:sz="4" w:space="0"/>
              <w:right w:val="single" w:color="auto" w:sz="4" w:space="0"/>
            </w:tcBorders>
            <w:shd w:val="clear" w:color="000000" w:fill="FFFFFF"/>
            <w:vAlign w:val="center"/>
          </w:tcPr>
          <w:p w14:paraId="79387789">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0.80</w:t>
            </w:r>
          </w:p>
        </w:tc>
      </w:tr>
      <w:tr w14:paraId="5A32C22B">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46B3CAAD">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23EA58A0">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其他工资福利支出</w:t>
            </w:r>
          </w:p>
        </w:tc>
        <w:tc>
          <w:tcPr>
            <w:tcW w:w="1227" w:type="dxa"/>
            <w:tcBorders>
              <w:top w:val="nil"/>
              <w:left w:val="nil"/>
              <w:bottom w:val="single" w:color="auto" w:sz="4" w:space="0"/>
              <w:right w:val="single" w:color="auto" w:sz="4" w:space="0"/>
            </w:tcBorders>
            <w:shd w:val="clear" w:color="auto" w:fill="auto"/>
            <w:vAlign w:val="center"/>
          </w:tcPr>
          <w:p w14:paraId="63762DF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131.78</w:t>
            </w:r>
          </w:p>
        </w:tc>
        <w:tc>
          <w:tcPr>
            <w:tcW w:w="1508" w:type="dxa"/>
            <w:tcBorders>
              <w:top w:val="nil"/>
              <w:left w:val="nil"/>
              <w:bottom w:val="single" w:color="auto" w:sz="4" w:space="0"/>
              <w:right w:val="single" w:color="auto" w:sz="4" w:space="0"/>
            </w:tcBorders>
            <w:shd w:val="clear" w:color="auto" w:fill="auto"/>
            <w:vAlign w:val="center"/>
          </w:tcPr>
          <w:p w14:paraId="7B5CD93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67.10</w:t>
            </w:r>
          </w:p>
        </w:tc>
        <w:tc>
          <w:tcPr>
            <w:tcW w:w="1151" w:type="dxa"/>
            <w:tcBorders>
              <w:top w:val="nil"/>
              <w:left w:val="nil"/>
              <w:bottom w:val="single" w:color="auto" w:sz="4" w:space="0"/>
              <w:right w:val="single" w:color="auto" w:sz="4" w:space="0"/>
            </w:tcBorders>
            <w:shd w:val="clear" w:color="auto" w:fill="auto"/>
            <w:vAlign w:val="center"/>
          </w:tcPr>
          <w:p w14:paraId="529F9AA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39ECBB4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0.24 </w:t>
            </w:r>
          </w:p>
        </w:tc>
        <w:tc>
          <w:tcPr>
            <w:tcW w:w="704" w:type="dxa"/>
            <w:tcBorders>
              <w:top w:val="nil"/>
              <w:left w:val="nil"/>
              <w:bottom w:val="single" w:color="auto" w:sz="4" w:space="0"/>
              <w:right w:val="single" w:color="auto" w:sz="4" w:space="0"/>
            </w:tcBorders>
            <w:shd w:val="clear" w:color="000000" w:fill="FFFFFF"/>
            <w:vAlign w:val="center"/>
          </w:tcPr>
          <w:p w14:paraId="68E96DDA">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131.78</w:t>
            </w:r>
          </w:p>
        </w:tc>
        <w:tc>
          <w:tcPr>
            <w:tcW w:w="1321" w:type="dxa"/>
            <w:tcBorders>
              <w:top w:val="nil"/>
              <w:left w:val="nil"/>
              <w:bottom w:val="single" w:color="auto" w:sz="4" w:space="0"/>
              <w:right w:val="single" w:color="auto" w:sz="4" w:space="0"/>
            </w:tcBorders>
            <w:shd w:val="clear" w:color="000000" w:fill="FFFFFF"/>
            <w:vAlign w:val="center"/>
          </w:tcPr>
          <w:p w14:paraId="61A7B3A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67.34</w:t>
            </w:r>
          </w:p>
        </w:tc>
        <w:tc>
          <w:tcPr>
            <w:tcW w:w="1394" w:type="dxa"/>
            <w:tcBorders>
              <w:top w:val="nil"/>
              <w:left w:val="nil"/>
              <w:bottom w:val="single" w:color="auto" w:sz="4" w:space="0"/>
              <w:right w:val="single" w:color="auto" w:sz="4" w:space="0"/>
            </w:tcBorders>
            <w:shd w:val="clear" w:color="000000" w:fill="FFFFFF"/>
            <w:vAlign w:val="center"/>
          </w:tcPr>
          <w:p w14:paraId="68F2C1C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-64.44</w:t>
            </w:r>
          </w:p>
        </w:tc>
      </w:tr>
      <w:tr w14:paraId="1203CCF3">
        <w:tblPrEx>
          <w:tblCellMar>
            <w:top w:w="0" w:type="dxa"/>
            <w:left w:w="108" w:type="dxa"/>
            <w:bottom w:w="0" w:type="dxa"/>
            <w:right w:w="108" w:type="dxa"/>
          </w:tblCellMar>
        </w:tblPrEx>
        <w:trPr>
          <w:trHeight w:val="340" w:hRule="exact"/>
        </w:trPr>
        <w:tc>
          <w:tcPr>
            <w:tcW w:w="2083" w:type="dxa"/>
            <w:vMerge w:val="restart"/>
            <w:tcBorders>
              <w:top w:val="nil"/>
              <w:left w:val="single" w:color="auto" w:sz="4" w:space="0"/>
              <w:bottom w:val="single" w:color="auto" w:sz="4" w:space="0"/>
              <w:right w:val="single" w:color="auto" w:sz="4" w:space="0"/>
            </w:tcBorders>
            <w:shd w:val="clear" w:color="000000" w:fill="FFFFFF"/>
            <w:vAlign w:val="center"/>
          </w:tcPr>
          <w:p w14:paraId="290BC102">
            <w:pPr>
              <w:widowControl/>
              <w:ind w:firstLine="400" w:firstLineChars="200"/>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商品和服务支出</w:t>
            </w:r>
          </w:p>
        </w:tc>
        <w:tc>
          <w:tcPr>
            <w:tcW w:w="3452" w:type="dxa"/>
            <w:tcBorders>
              <w:top w:val="nil"/>
              <w:left w:val="nil"/>
              <w:bottom w:val="single" w:color="auto" w:sz="4" w:space="0"/>
              <w:right w:val="single" w:color="auto" w:sz="4" w:space="0"/>
            </w:tcBorders>
            <w:shd w:val="clear" w:color="000000" w:fill="FFFFFF"/>
            <w:vAlign w:val="center"/>
          </w:tcPr>
          <w:p w14:paraId="78751BEA">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小计</w:t>
            </w:r>
          </w:p>
        </w:tc>
        <w:tc>
          <w:tcPr>
            <w:tcW w:w="1227" w:type="dxa"/>
            <w:tcBorders>
              <w:top w:val="nil"/>
              <w:left w:val="nil"/>
              <w:bottom w:val="single" w:color="auto" w:sz="4" w:space="0"/>
              <w:right w:val="single" w:color="auto" w:sz="4" w:space="0"/>
            </w:tcBorders>
            <w:shd w:val="clear" w:color="auto" w:fill="auto"/>
            <w:vAlign w:val="center"/>
          </w:tcPr>
          <w:p w14:paraId="7AA9D65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99.30</w:t>
            </w:r>
          </w:p>
        </w:tc>
        <w:tc>
          <w:tcPr>
            <w:tcW w:w="1508" w:type="dxa"/>
            <w:tcBorders>
              <w:top w:val="nil"/>
              <w:left w:val="nil"/>
              <w:bottom w:val="single" w:color="auto" w:sz="4" w:space="0"/>
              <w:right w:val="single" w:color="auto" w:sz="4" w:space="0"/>
            </w:tcBorders>
            <w:shd w:val="clear" w:color="auto" w:fill="auto"/>
            <w:vAlign w:val="center"/>
          </w:tcPr>
          <w:p w14:paraId="04BDB25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58.04</w:t>
            </w:r>
          </w:p>
        </w:tc>
        <w:tc>
          <w:tcPr>
            <w:tcW w:w="1151" w:type="dxa"/>
            <w:tcBorders>
              <w:top w:val="nil"/>
              <w:left w:val="nil"/>
              <w:bottom w:val="single" w:color="auto" w:sz="4" w:space="0"/>
              <w:right w:val="single" w:color="auto" w:sz="4" w:space="0"/>
            </w:tcBorders>
            <w:shd w:val="clear" w:color="auto" w:fill="auto"/>
            <w:vAlign w:val="center"/>
          </w:tcPr>
          <w:p w14:paraId="0F2DA1A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325.00</w:t>
            </w:r>
          </w:p>
        </w:tc>
        <w:tc>
          <w:tcPr>
            <w:tcW w:w="1334" w:type="dxa"/>
            <w:tcBorders>
              <w:top w:val="nil"/>
              <w:left w:val="nil"/>
              <w:bottom w:val="single" w:color="auto" w:sz="4" w:space="0"/>
              <w:right w:val="single" w:color="auto" w:sz="4" w:space="0"/>
            </w:tcBorders>
            <w:shd w:val="clear" w:color="auto" w:fill="auto"/>
            <w:vAlign w:val="center"/>
          </w:tcPr>
          <w:p w14:paraId="3319660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281.39 </w:t>
            </w:r>
          </w:p>
        </w:tc>
        <w:tc>
          <w:tcPr>
            <w:tcW w:w="704" w:type="dxa"/>
            <w:tcBorders>
              <w:top w:val="nil"/>
              <w:left w:val="nil"/>
              <w:bottom w:val="single" w:color="auto" w:sz="4" w:space="0"/>
              <w:right w:val="single" w:color="auto" w:sz="4" w:space="0"/>
            </w:tcBorders>
            <w:shd w:val="clear" w:color="000000" w:fill="FFFFFF"/>
            <w:vAlign w:val="center"/>
          </w:tcPr>
          <w:p w14:paraId="2237E02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424.30</w:t>
            </w:r>
          </w:p>
        </w:tc>
        <w:tc>
          <w:tcPr>
            <w:tcW w:w="1321" w:type="dxa"/>
            <w:tcBorders>
              <w:top w:val="nil"/>
              <w:left w:val="nil"/>
              <w:bottom w:val="single" w:color="auto" w:sz="4" w:space="0"/>
              <w:right w:val="single" w:color="auto" w:sz="4" w:space="0"/>
            </w:tcBorders>
            <w:shd w:val="clear" w:color="000000" w:fill="FFFFFF"/>
            <w:vAlign w:val="center"/>
          </w:tcPr>
          <w:p w14:paraId="74A7F192">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339.43</w:t>
            </w:r>
          </w:p>
        </w:tc>
        <w:tc>
          <w:tcPr>
            <w:tcW w:w="1394" w:type="dxa"/>
            <w:tcBorders>
              <w:top w:val="nil"/>
              <w:left w:val="nil"/>
              <w:bottom w:val="single" w:color="auto" w:sz="4" w:space="0"/>
              <w:right w:val="single" w:color="auto" w:sz="4" w:space="0"/>
            </w:tcBorders>
            <w:shd w:val="clear" w:color="000000" w:fill="FFFFFF"/>
            <w:vAlign w:val="center"/>
          </w:tcPr>
          <w:p w14:paraId="7EA304F3">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-84.87</w:t>
            </w:r>
          </w:p>
        </w:tc>
      </w:tr>
      <w:tr w14:paraId="291F41AE">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05C91632">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73171387">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办公费</w:t>
            </w:r>
          </w:p>
        </w:tc>
        <w:tc>
          <w:tcPr>
            <w:tcW w:w="1227" w:type="dxa"/>
            <w:tcBorders>
              <w:top w:val="nil"/>
              <w:left w:val="nil"/>
              <w:bottom w:val="single" w:color="auto" w:sz="4" w:space="0"/>
              <w:right w:val="single" w:color="auto" w:sz="4" w:space="0"/>
            </w:tcBorders>
            <w:shd w:val="clear" w:color="auto" w:fill="auto"/>
            <w:vAlign w:val="center"/>
          </w:tcPr>
          <w:p w14:paraId="4E06A03B">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25.00</w:t>
            </w:r>
          </w:p>
        </w:tc>
        <w:tc>
          <w:tcPr>
            <w:tcW w:w="1508" w:type="dxa"/>
            <w:tcBorders>
              <w:top w:val="nil"/>
              <w:left w:val="nil"/>
              <w:bottom w:val="single" w:color="auto" w:sz="4" w:space="0"/>
              <w:right w:val="single" w:color="auto" w:sz="4" w:space="0"/>
            </w:tcBorders>
            <w:shd w:val="clear" w:color="auto" w:fill="auto"/>
            <w:vAlign w:val="center"/>
          </w:tcPr>
          <w:p w14:paraId="6DCD2D9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0.07 </w:t>
            </w:r>
          </w:p>
        </w:tc>
        <w:tc>
          <w:tcPr>
            <w:tcW w:w="1151" w:type="dxa"/>
            <w:tcBorders>
              <w:top w:val="nil"/>
              <w:left w:val="nil"/>
              <w:bottom w:val="single" w:color="auto" w:sz="4" w:space="0"/>
              <w:right w:val="single" w:color="auto" w:sz="4" w:space="0"/>
            </w:tcBorders>
            <w:shd w:val="clear" w:color="auto" w:fill="auto"/>
            <w:vAlign w:val="center"/>
          </w:tcPr>
          <w:p w14:paraId="749CC1F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202.30</w:t>
            </w:r>
          </w:p>
        </w:tc>
        <w:tc>
          <w:tcPr>
            <w:tcW w:w="1334" w:type="dxa"/>
            <w:tcBorders>
              <w:top w:val="nil"/>
              <w:left w:val="nil"/>
              <w:bottom w:val="single" w:color="auto" w:sz="4" w:space="0"/>
              <w:right w:val="single" w:color="auto" w:sz="4" w:space="0"/>
            </w:tcBorders>
            <w:shd w:val="clear" w:color="auto" w:fill="auto"/>
            <w:vAlign w:val="center"/>
          </w:tcPr>
          <w:p w14:paraId="471BE67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32.52 </w:t>
            </w:r>
          </w:p>
        </w:tc>
        <w:tc>
          <w:tcPr>
            <w:tcW w:w="704" w:type="dxa"/>
            <w:tcBorders>
              <w:top w:val="nil"/>
              <w:left w:val="nil"/>
              <w:bottom w:val="single" w:color="auto" w:sz="4" w:space="0"/>
              <w:right w:val="single" w:color="auto" w:sz="4" w:space="0"/>
            </w:tcBorders>
            <w:shd w:val="clear" w:color="000000" w:fill="FFFFFF"/>
            <w:vAlign w:val="center"/>
          </w:tcPr>
          <w:p w14:paraId="7192049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227.30</w:t>
            </w:r>
          </w:p>
        </w:tc>
        <w:tc>
          <w:tcPr>
            <w:tcW w:w="1321" w:type="dxa"/>
            <w:tcBorders>
              <w:top w:val="nil"/>
              <w:left w:val="nil"/>
              <w:bottom w:val="single" w:color="auto" w:sz="4" w:space="0"/>
              <w:right w:val="single" w:color="auto" w:sz="4" w:space="0"/>
            </w:tcBorders>
            <w:shd w:val="clear" w:color="000000" w:fill="FFFFFF"/>
            <w:vAlign w:val="center"/>
          </w:tcPr>
          <w:p w14:paraId="3B937B9C">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32.59</w:t>
            </w:r>
          </w:p>
        </w:tc>
        <w:tc>
          <w:tcPr>
            <w:tcW w:w="1394" w:type="dxa"/>
            <w:tcBorders>
              <w:top w:val="nil"/>
              <w:left w:val="nil"/>
              <w:bottom w:val="single" w:color="auto" w:sz="4" w:space="0"/>
              <w:right w:val="single" w:color="auto" w:sz="4" w:space="0"/>
            </w:tcBorders>
            <w:shd w:val="clear" w:color="000000" w:fill="FFFFFF"/>
            <w:vAlign w:val="center"/>
          </w:tcPr>
          <w:p w14:paraId="30A3CE12">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-194.71</w:t>
            </w:r>
          </w:p>
        </w:tc>
      </w:tr>
      <w:tr w14:paraId="236ABCA3">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54517D06">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709B2C6E">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印刷费</w:t>
            </w:r>
          </w:p>
        </w:tc>
        <w:tc>
          <w:tcPr>
            <w:tcW w:w="1227" w:type="dxa"/>
            <w:tcBorders>
              <w:top w:val="nil"/>
              <w:left w:val="nil"/>
              <w:bottom w:val="single" w:color="auto" w:sz="4" w:space="0"/>
              <w:right w:val="single" w:color="auto" w:sz="4" w:space="0"/>
            </w:tcBorders>
            <w:shd w:val="clear" w:color="auto" w:fill="auto"/>
            <w:vAlign w:val="center"/>
          </w:tcPr>
          <w:p w14:paraId="49E9F90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10.00</w:t>
            </w:r>
          </w:p>
        </w:tc>
        <w:tc>
          <w:tcPr>
            <w:tcW w:w="1508" w:type="dxa"/>
            <w:tcBorders>
              <w:top w:val="nil"/>
              <w:left w:val="nil"/>
              <w:bottom w:val="single" w:color="auto" w:sz="4" w:space="0"/>
              <w:right w:val="single" w:color="auto" w:sz="4" w:space="0"/>
            </w:tcBorders>
            <w:shd w:val="clear" w:color="auto" w:fill="auto"/>
            <w:vAlign w:val="center"/>
          </w:tcPr>
          <w:p w14:paraId="37BE7679">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151" w:type="dxa"/>
            <w:tcBorders>
              <w:top w:val="nil"/>
              <w:left w:val="nil"/>
              <w:bottom w:val="single" w:color="auto" w:sz="4" w:space="0"/>
              <w:right w:val="single" w:color="auto" w:sz="4" w:space="0"/>
            </w:tcBorders>
            <w:shd w:val="clear" w:color="auto" w:fill="auto"/>
            <w:vAlign w:val="center"/>
          </w:tcPr>
          <w:p w14:paraId="70FA2DC3">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543ABC7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99.87 </w:t>
            </w:r>
          </w:p>
        </w:tc>
        <w:tc>
          <w:tcPr>
            <w:tcW w:w="704" w:type="dxa"/>
            <w:tcBorders>
              <w:top w:val="nil"/>
              <w:left w:val="nil"/>
              <w:bottom w:val="single" w:color="auto" w:sz="4" w:space="0"/>
              <w:right w:val="single" w:color="auto" w:sz="4" w:space="0"/>
            </w:tcBorders>
            <w:shd w:val="clear" w:color="000000" w:fill="FFFFFF"/>
            <w:vAlign w:val="center"/>
          </w:tcPr>
          <w:p w14:paraId="6816451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10.00</w:t>
            </w:r>
          </w:p>
        </w:tc>
        <w:tc>
          <w:tcPr>
            <w:tcW w:w="1321" w:type="dxa"/>
            <w:tcBorders>
              <w:top w:val="nil"/>
              <w:left w:val="nil"/>
              <w:bottom w:val="single" w:color="auto" w:sz="4" w:space="0"/>
              <w:right w:val="single" w:color="auto" w:sz="4" w:space="0"/>
            </w:tcBorders>
            <w:shd w:val="clear" w:color="000000" w:fill="FFFFFF"/>
            <w:vAlign w:val="center"/>
          </w:tcPr>
          <w:p w14:paraId="3D547CA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99.87</w:t>
            </w:r>
          </w:p>
        </w:tc>
        <w:tc>
          <w:tcPr>
            <w:tcW w:w="1394" w:type="dxa"/>
            <w:tcBorders>
              <w:top w:val="nil"/>
              <w:left w:val="nil"/>
              <w:bottom w:val="single" w:color="auto" w:sz="4" w:space="0"/>
              <w:right w:val="single" w:color="auto" w:sz="4" w:space="0"/>
            </w:tcBorders>
            <w:shd w:val="clear" w:color="000000" w:fill="FFFFFF"/>
            <w:vAlign w:val="center"/>
          </w:tcPr>
          <w:p w14:paraId="4257DC7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89.87</w:t>
            </w:r>
          </w:p>
        </w:tc>
      </w:tr>
      <w:tr w14:paraId="2DCF714A">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3A3348B1">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2B8B276A">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咨询费</w:t>
            </w:r>
          </w:p>
        </w:tc>
        <w:tc>
          <w:tcPr>
            <w:tcW w:w="1227" w:type="dxa"/>
            <w:tcBorders>
              <w:top w:val="nil"/>
              <w:left w:val="nil"/>
              <w:bottom w:val="single" w:color="auto" w:sz="4" w:space="0"/>
              <w:right w:val="single" w:color="auto" w:sz="4" w:space="0"/>
            </w:tcBorders>
            <w:shd w:val="clear" w:color="auto" w:fill="auto"/>
            <w:vAlign w:val="center"/>
          </w:tcPr>
          <w:p w14:paraId="2A40C55C">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508" w:type="dxa"/>
            <w:tcBorders>
              <w:top w:val="nil"/>
              <w:left w:val="nil"/>
              <w:bottom w:val="single" w:color="auto" w:sz="4" w:space="0"/>
              <w:right w:val="single" w:color="auto" w:sz="4" w:space="0"/>
            </w:tcBorders>
            <w:shd w:val="clear" w:color="auto" w:fill="auto"/>
            <w:vAlign w:val="center"/>
          </w:tcPr>
          <w:p w14:paraId="7DF8075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151" w:type="dxa"/>
            <w:tcBorders>
              <w:top w:val="nil"/>
              <w:left w:val="nil"/>
              <w:bottom w:val="single" w:color="auto" w:sz="4" w:space="0"/>
              <w:right w:val="single" w:color="auto" w:sz="4" w:space="0"/>
            </w:tcBorders>
            <w:shd w:val="clear" w:color="auto" w:fill="auto"/>
            <w:vAlign w:val="center"/>
          </w:tcPr>
          <w:p w14:paraId="1AB3ACD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1BDEA68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9.50 </w:t>
            </w:r>
          </w:p>
        </w:tc>
        <w:tc>
          <w:tcPr>
            <w:tcW w:w="704" w:type="dxa"/>
            <w:tcBorders>
              <w:top w:val="nil"/>
              <w:left w:val="nil"/>
              <w:bottom w:val="single" w:color="auto" w:sz="4" w:space="0"/>
              <w:right w:val="single" w:color="auto" w:sz="4" w:space="0"/>
            </w:tcBorders>
            <w:shd w:val="clear" w:color="000000" w:fill="FFFFFF"/>
            <w:vAlign w:val="center"/>
          </w:tcPr>
          <w:p w14:paraId="53DB205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21" w:type="dxa"/>
            <w:tcBorders>
              <w:top w:val="nil"/>
              <w:left w:val="nil"/>
              <w:bottom w:val="single" w:color="auto" w:sz="4" w:space="0"/>
              <w:right w:val="single" w:color="auto" w:sz="4" w:space="0"/>
            </w:tcBorders>
            <w:shd w:val="clear" w:color="000000" w:fill="FFFFFF"/>
            <w:vAlign w:val="center"/>
          </w:tcPr>
          <w:p w14:paraId="668D0B5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9.50</w:t>
            </w:r>
          </w:p>
        </w:tc>
        <w:tc>
          <w:tcPr>
            <w:tcW w:w="1394" w:type="dxa"/>
            <w:tcBorders>
              <w:top w:val="nil"/>
              <w:left w:val="nil"/>
              <w:bottom w:val="single" w:color="auto" w:sz="4" w:space="0"/>
              <w:right w:val="single" w:color="auto" w:sz="4" w:space="0"/>
            </w:tcBorders>
            <w:shd w:val="clear" w:color="000000" w:fill="FFFFFF"/>
            <w:vAlign w:val="center"/>
          </w:tcPr>
          <w:p w14:paraId="193C7A6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9.50</w:t>
            </w:r>
          </w:p>
        </w:tc>
      </w:tr>
      <w:tr w14:paraId="7FADE1CE">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2B5C9439">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5D28263B">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邮电费</w:t>
            </w:r>
          </w:p>
        </w:tc>
        <w:tc>
          <w:tcPr>
            <w:tcW w:w="1227" w:type="dxa"/>
            <w:tcBorders>
              <w:top w:val="nil"/>
              <w:left w:val="nil"/>
              <w:bottom w:val="single" w:color="auto" w:sz="4" w:space="0"/>
              <w:right w:val="single" w:color="auto" w:sz="4" w:space="0"/>
            </w:tcBorders>
            <w:shd w:val="clear" w:color="auto" w:fill="auto"/>
            <w:vAlign w:val="center"/>
          </w:tcPr>
          <w:p w14:paraId="6300757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10.00</w:t>
            </w:r>
          </w:p>
        </w:tc>
        <w:tc>
          <w:tcPr>
            <w:tcW w:w="1508" w:type="dxa"/>
            <w:tcBorders>
              <w:top w:val="nil"/>
              <w:left w:val="nil"/>
              <w:bottom w:val="single" w:color="auto" w:sz="4" w:space="0"/>
              <w:right w:val="single" w:color="auto" w:sz="4" w:space="0"/>
            </w:tcBorders>
            <w:shd w:val="clear" w:color="auto" w:fill="auto"/>
            <w:vAlign w:val="center"/>
          </w:tcPr>
          <w:p w14:paraId="55A02A6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151" w:type="dxa"/>
            <w:tcBorders>
              <w:top w:val="nil"/>
              <w:left w:val="nil"/>
              <w:bottom w:val="single" w:color="auto" w:sz="4" w:space="0"/>
              <w:right w:val="single" w:color="auto" w:sz="4" w:space="0"/>
            </w:tcBorders>
            <w:shd w:val="clear" w:color="auto" w:fill="auto"/>
            <w:vAlign w:val="center"/>
          </w:tcPr>
          <w:p w14:paraId="0B40D95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48F20D8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15.36 </w:t>
            </w:r>
          </w:p>
        </w:tc>
        <w:tc>
          <w:tcPr>
            <w:tcW w:w="704" w:type="dxa"/>
            <w:tcBorders>
              <w:top w:val="nil"/>
              <w:left w:val="nil"/>
              <w:bottom w:val="single" w:color="auto" w:sz="4" w:space="0"/>
              <w:right w:val="single" w:color="auto" w:sz="4" w:space="0"/>
            </w:tcBorders>
            <w:shd w:val="clear" w:color="000000" w:fill="FFFFFF"/>
            <w:vAlign w:val="center"/>
          </w:tcPr>
          <w:p w14:paraId="0B28F5FC">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10.00</w:t>
            </w:r>
          </w:p>
        </w:tc>
        <w:tc>
          <w:tcPr>
            <w:tcW w:w="1321" w:type="dxa"/>
            <w:tcBorders>
              <w:top w:val="nil"/>
              <w:left w:val="nil"/>
              <w:bottom w:val="single" w:color="auto" w:sz="4" w:space="0"/>
              <w:right w:val="single" w:color="auto" w:sz="4" w:space="0"/>
            </w:tcBorders>
            <w:shd w:val="clear" w:color="000000" w:fill="FFFFFF"/>
            <w:vAlign w:val="center"/>
          </w:tcPr>
          <w:p w14:paraId="3CCF63ED">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15.36</w:t>
            </w:r>
          </w:p>
        </w:tc>
        <w:tc>
          <w:tcPr>
            <w:tcW w:w="1394" w:type="dxa"/>
            <w:tcBorders>
              <w:top w:val="nil"/>
              <w:left w:val="nil"/>
              <w:bottom w:val="single" w:color="auto" w:sz="4" w:space="0"/>
              <w:right w:val="single" w:color="auto" w:sz="4" w:space="0"/>
            </w:tcBorders>
            <w:shd w:val="clear" w:color="000000" w:fill="FFFFFF"/>
            <w:vAlign w:val="center"/>
          </w:tcPr>
          <w:p w14:paraId="64F44FE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5.36</w:t>
            </w:r>
          </w:p>
        </w:tc>
      </w:tr>
      <w:tr w14:paraId="47C80037">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2FF0B8E7">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55D57424">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差旅费</w:t>
            </w:r>
          </w:p>
        </w:tc>
        <w:tc>
          <w:tcPr>
            <w:tcW w:w="1227" w:type="dxa"/>
            <w:tcBorders>
              <w:top w:val="nil"/>
              <w:left w:val="nil"/>
              <w:bottom w:val="single" w:color="auto" w:sz="4" w:space="0"/>
              <w:right w:val="single" w:color="auto" w:sz="4" w:space="0"/>
            </w:tcBorders>
            <w:shd w:val="clear" w:color="auto" w:fill="auto"/>
            <w:vAlign w:val="center"/>
          </w:tcPr>
          <w:p w14:paraId="1AABC6C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9.00</w:t>
            </w:r>
          </w:p>
        </w:tc>
        <w:tc>
          <w:tcPr>
            <w:tcW w:w="1508" w:type="dxa"/>
            <w:tcBorders>
              <w:top w:val="nil"/>
              <w:left w:val="nil"/>
              <w:bottom w:val="single" w:color="auto" w:sz="4" w:space="0"/>
              <w:right w:val="single" w:color="auto" w:sz="4" w:space="0"/>
            </w:tcBorders>
            <w:shd w:val="clear" w:color="auto" w:fill="auto"/>
            <w:vAlign w:val="center"/>
          </w:tcPr>
          <w:p w14:paraId="27153DFC">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151" w:type="dxa"/>
            <w:tcBorders>
              <w:top w:val="nil"/>
              <w:left w:val="nil"/>
              <w:bottom w:val="single" w:color="auto" w:sz="4" w:space="0"/>
              <w:right w:val="single" w:color="auto" w:sz="4" w:space="0"/>
            </w:tcBorders>
            <w:shd w:val="clear" w:color="auto" w:fill="auto"/>
            <w:vAlign w:val="center"/>
          </w:tcPr>
          <w:p w14:paraId="2248F83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613B4A8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7.61 </w:t>
            </w:r>
          </w:p>
        </w:tc>
        <w:tc>
          <w:tcPr>
            <w:tcW w:w="704" w:type="dxa"/>
            <w:tcBorders>
              <w:top w:val="nil"/>
              <w:left w:val="nil"/>
              <w:bottom w:val="single" w:color="auto" w:sz="4" w:space="0"/>
              <w:right w:val="single" w:color="auto" w:sz="4" w:space="0"/>
            </w:tcBorders>
            <w:shd w:val="clear" w:color="000000" w:fill="FFFFFF"/>
            <w:vAlign w:val="center"/>
          </w:tcPr>
          <w:p w14:paraId="5EF6A109">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9.00</w:t>
            </w:r>
          </w:p>
        </w:tc>
        <w:tc>
          <w:tcPr>
            <w:tcW w:w="1321" w:type="dxa"/>
            <w:tcBorders>
              <w:top w:val="nil"/>
              <w:left w:val="nil"/>
              <w:bottom w:val="single" w:color="auto" w:sz="4" w:space="0"/>
              <w:right w:val="single" w:color="auto" w:sz="4" w:space="0"/>
            </w:tcBorders>
            <w:shd w:val="clear" w:color="000000" w:fill="FFFFFF"/>
            <w:vAlign w:val="center"/>
          </w:tcPr>
          <w:p w14:paraId="2F90592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7.61</w:t>
            </w:r>
          </w:p>
        </w:tc>
        <w:tc>
          <w:tcPr>
            <w:tcW w:w="1394" w:type="dxa"/>
            <w:tcBorders>
              <w:top w:val="nil"/>
              <w:left w:val="nil"/>
              <w:bottom w:val="single" w:color="auto" w:sz="4" w:space="0"/>
              <w:right w:val="single" w:color="auto" w:sz="4" w:space="0"/>
            </w:tcBorders>
            <w:shd w:val="clear" w:color="000000" w:fill="FFFFFF"/>
            <w:vAlign w:val="center"/>
          </w:tcPr>
          <w:p w14:paraId="2B78AEC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-1.39</w:t>
            </w:r>
          </w:p>
        </w:tc>
      </w:tr>
      <w:tr w14:paraId="09B5A8D2">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2E694783">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1D7E9580">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维修(护)费</w:t>
            </w:r>
          </w:p>
        </w:tc>
        <w:tc>
          <w:tcPr>
            <w:tcW w:w="1227" w:type="dxa"/>
            <w:tcBorders>
              <w:top w:val="nil"/>
              <w:left w:val="nil"/>
              <w:bottom w:val="single" w:color="auto" w:sz="4" w:space="0"/>
              <w:right w:val="single" w:color="auto" w:sz="4" w:space="0"/>
            </w:tcBorders>
            <w:shd w:val="clear" w:color="auto" w:fill="auto"/>
            <w:vAlign w:val="center"/>
          </w:tcPr>
          <w:p w14:paraId="4602101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5.00</w:t>
            </w:r>
          </w:p>
        </w:tc>
        <w:tc>
          <w:tcPr>
            <w:tcW w:w="1508" w:type="dxa"/>
            <w:tcBorders>
              <w:top w:val="nil"/>
              <w:left w:val="nil"/>
              <w:bottom w:val="single" w:color="auto" w:sz="4" w:space="0"/>
              <w:right w:val="single" w:color="auto" w:sz="4" w:space="0"/>
            </w:tcBorders>
            <w:shd w:val="clear" w:color="auto" w:fill="auto"/>
            <w:vAlign w:val="center"/>
          </w:tcPr>
          <w:p w14:paraId="2FB5AF02">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151" w:type="dxa"/>
            <w:tcBorders>
              <w:top w:val="nil"/>
              <w:left w:val="nil"/>
              <w:bottom w:val="single" w:color="auto" w:sz="4" w:space="0"/>
              <w:right w:val="single" w:color="auto" w:sz="4" w:space="0"/>
            </w:tcBorders>
            <w:shd w:val="clear" w:color="auto" w:fill="auto"/>
            <w:vAlign w:val="center"/>
          </w:tcPr>
          <w:p w14:paraId="2C09941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6F54301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9.89 </w:t>
            </w:r>
          </w:p>
        </w:tc>
        <w:tc>
          <w:tcPr>
            <w:tcW w:w="704" w:type="dxa"/>
            <w:tcBorders>
              <w:top w:val="nil"/>
              <w:left w:val="nil"/>
              <w:bottom w:val="single" w:color="auto" w:sz="4" w:space="0"/>
              <w:right w:val="single" w:color="auto" w:sz="4" w:space="0"/>
            </w:tcBorders>
            <w:shd w:val="clear" w:color="000000" w:fill="FFFFFF"/>
            <w:vAlign w:val="center"/>
          </w:tcPr>
          <w:p w14:paraId="0B10E52A">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5.00</w:t>
            </w:r>
          </w:p>
        </w:tc>
        <w:tc>
          <w:tcPr>
            <w:tcW w:w="1321" w:type="dxa"/>
            <w:tcBorders>
              <w:top w:val="nil"/>
              <w:left w:val="nil"/>
              <w:bottom w:val="single" w:color="auto" w:sz="4" w:space="0"/>
              <w:right w:val="single" w:color="auto" w:sz="4" w:space="0"/>
            </w:tcBorders>
            <w:shd w:val="clear" w:color="000000" w:fill="FFFFFF"/>
            <w:vAlign w:val="center"/>
          </w:tcPr>
          <w:p w14:paraId="64A88FB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9.89</w:t>
            </w:r>
          </w:p>
        </w:tc>
        <w:tc>
          <w:tcPr>
            <w:tcW w:w="1394" w:type="dxa"/>
            <w:tcBorders>
              <w:top w:val="nil"/>
              <w:left w:val="nil"/>
              <w:bottom w:val="single" w:color="auto" w:sz="4" w:space="0"/>
              <w:right w:val="single" w:color="auto" w:sz="4" w:space="0"/>
            </w:tcBorders>
            <w:shd w:val="clear" w:color="000000" w:fill="FFFFFF"/>
            <w:vAlign w:val="center"/>
          </w:tcPr>
          <w:p w14:paraId="3DFB749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4.89</w:t>
            </w:r>
          </w:p>
        </w:tc>
      </w:tr>
      <w:tr w14:paraId="0A8F2FB6">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76170C67">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0B00F279">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会议费</w:t>
            </w:r>
          </w:p>
        </w:tc>
        <w:tc>
          <w:tcPr>
            <w:tcW w:w="1227" w:type="dxa"/>
            <w:tcBorders>
              <w:top w:val="nil"/>
              <w:left w:val="nil"/>
              <w:bottom w:val="single" w:color="auto" w:sz="4" w:space="0"/>
              <w:right w:val="single" w:color="auto" w:sz="4" w:space="0"/>
            </w:tcBorders>
            <w:shd w:val="clear" w:color="auto" w:fill="auto"/>
            <w:vAlign w:val="center"/>
          </w:tcPr>
          <w:p w14:paraId="035FD37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6.00</w:t>
            </w:r>
          </w:p>
        </w:tc>
        <w:tc>
          <w:tcPr>
            <w:tcW w:w="1508" w:type="dxa"/>
            <w:tcBorders>
              <w:top w:val="nil"/>
              <w:left w:val="nil"/>
              <w:bottom w:val="single" w:color="auto" w:sz="4" w:space="0"/>
              <w:right w:val="single" w:color="auto" w:sz="4" w:space="0"/>
            </w:tcBorders>
            <w:shd w:val="clear" w:color="auto" w:fill="auto"/>
            <w:vAlign w:val="center"/>
          </w:tcPr>
          <w:p w14:paraId="2B6D077C">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151" w:type="dxa"/>
            <w:tcBorders>
              <w:top w:val="nil"/>
              <w:left w:val="nil"/>
              <w:bottom w:val="single" w:color="auto" w:sz="4" w:space="0"/>
              <w:right w:val="single" w:color="auto" w:sz="4" w:space="0"/>
            </w:tcBorders>
            <w:shd w:val="clear" w:color="auto" w:fill="auto"/>
            <w:vAlign w:val="center"/>
          </w:tcPr>
          <w:p w14:paraId="77224A5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7.00</w:t>
            </w:r>
          </w:p>
        </w:tc>
        <w:tc>
          <w:tcPr>
            <w:tcW w:w="1334" w:type="dxa"/>
            <w:tcBorders>
              <w:top w:val="nil"/>
              <w:left w:val="nil"/>
              <w:bottom w:val="single" w:color="auto" w:sz="4" w:space="0"/>
              <w:right w:val="single" w:color="auto" w:sz="4" w:space="0"/>
            </w:tcBorders>
            <w:shd w:val="clear" w:color="auto" w:fill="auto"/>
            <w:vAlign w:val="center"/>
          </w:tcPr>
          <w:p w14:paraId="2DCB5B1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2.16 </w:t>
            </w:r>
          </w:p>
        </w:tc>
        <w:tc>
          <w:tcPr>
            <w:tcW w:w="704" w:type="dxa"/>
            <w:tcBorders>
              <w:top w:val="nil"/>
              <w:left w:val="nil"/>
              <w:bottom w:val="single" w:color="auto" w:sz="4" w:space="0"/>
              <w:right w:val="single" w:color="auto" w:sz="4" w:space="0"/>
            </w:tcBorders>
            <w:shd w:val="clear" w:color="000000" w:fill="FFFFFF"/>
            <w:vAlign w:val="center"/>
          </w:tcPr>
          <w:p w14:paraId="296197F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13.00</w:t>
            </w:r>
          </w:p>
        </w:tc>
        <w:tc>
          <w:tcPr>
            <w:tcW w:w="1321" w:type="dxa"/>
            <w:tcBorders>
              <w:top w:val="nil"/>
              <w:left w:val="nil"/>
              <w:bottom w:val="single" w:color="auto" w:sz="4" w:space="0"/>
              <w:right w:val="single" w:color="auto" w:sz="4" w:space="0"/>
            </w:tcBorders>
            <w:shd w:val="clear" w:color="000000" w:fill="FFFFFF"/>
            <w:vAlign w:val="center"/>
          </w:tcPr>
          <w:p w14:paraId="2DCE97A2">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2.16</w:t>
            </w:r>
          </w:p>
        </w:tc>
        <w:tc>
          <w:tcPr>
            <w:tcW w:w="1394" w:type="dxa"/>
            <w:tcBorders>
              <w:top w:val="nil"/>
              <w:left w:val="nil"/>
              <w:bottom w:val="single" w:color="auto" w:sz="4" w:space="0"/>
              <w:right w:val="single" w:color="auto" w:sz="4" w:space="0"/>
            </w:tcBorders>
            <w:shd w:val="clear" w:color="000000" w:fill="FFFFFF"/>
            <w:vAlign w:val="center"/>
          </w:tcPr>
          <w:p w14:paraId="5D0F83E3">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-10.84</w:t>
            </w:r>
          </w:p>
        </w:tc>
      </w:tr>
      <w:tr w14:paraId="76F7A5CA">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022D12E2">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5C35E197">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培训费</w:t>
            </w:r>
          </w:p>
        </w:tc>
        <w:tc>
          <w:tcPr>
            <w:tcW w:w="1227" w:type="dxa"/>
            <w:tcBorders>
              <w:top w:val="nil"/>
              <w:left w:val="nil"/>
              <w:bottom w:val="single" w:color="auto" w:sz="4" w:space="0"/>
              <w:right w:val="single" w:color="auto" w:sz="4" w:space="0"/>
            </w:tcBorders>
            <w:shd w:val="clear" w:color="auto" w:fill="auto"/>
            <w:vAlign w:val="center"/>
          </w:tcPr>
          <w:p w14:paraId="47A86BB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6.00</w:t>
            </w:r>
          </w:p>
        </w:tc>
        <w:tc>
          <w:tcPr>
            <w:tcW w:w="1508" w:type="dxa"/>
            <w:tcBorders>
              <w:top w:val="nil"/>
              <w:left w:val="nil"/>
              <w:bottom w:val="single" w:color="auto" w:sz="4" w:space="0"/>
              <w:right w:val="single" w:color="auto" w:sz="4" w:space="0"/>
            </w:tcBorders>
            <w:shd w:val="clear" w:color="auto" w:fill="auto"/>
            <w:vAlign w:val="center"/>
          </w:tcPr>
          <w:p w14:paraId="75A09A53">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151" w:type="dxa"/>
            <w:tcBorders>
              <w:top w:val="nil"/>
              <w:left w:val="nil"/>
              <w:bottom w:val="single" w:color="auto" w:sz="4" w:space="0"/>
              <w:right w:val="single" w:color="auto" w:sz="4" w:space="0"/>
            </w:tcBorders>
            <w:shd w:val="clear" w:color="auto" w:fill="auto"/>
            <w:vAlign w:val="center"/>
          </w:tcPr>
          <w:p w14:paraId="160C9FD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8.00</w:t>
            </w:r>
          </w:p>
        </w:tc>
        <w:tc>
          <w:tcPr>
            <w:tcW w:w="1334" w:type="dxa"/>
            <w:tcBorders>
              <w:top w:val="nil"/>
              <w:left w:val="nil"/>
              <w:bottom w:val="single" w:color="auto" w:sz="4" w:space="0"/>
              <w:right w:val="single" w:color="auto" w:sz="4" w:space="0"/>
            </w:tcBorders>
            <w:shd w:val="clear" w:color="auto" w:fill="auto"/>
            <w:vAlign w:val="center"/>
          </w:tcPr>
          <w:p w14:paraId="3995480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704" w:type="dxa"/>
            <w:tcBorders>
              <w:top w:val="nil"/>
              <w:left w:val="nil"/>
              <w:bottom w:val="single" w:color="auto" w:sz="4" w:space="0"/>
              <w:right w:val="single" w:color="auto" w:sz="4" w:space="0"/>
            </w:tcBorders>
            <w:shd w:val="clear" w:color="000000" w:fill="FFFFFF"/>
            <w:vAlign w:val="center"/>
          </w:tcPr>
          <w:p w14:paraId="3BEEC1C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14.00</w:t>
            </w:r>
          </w:p>
        </w:tc>
        <w:tc>
          <w:tcPr>
            <w:tcW w:w="1321" w:type="dxa"/>
            <w:tcBorders>
              <w:top w:val="nil"/>
              <w:left w:val="nil"/>
              <w:bottom w:val="single" w:color="auto" w:sz="4" w:space="0"/>
              <w:right w:val="single" w:color="auto" w:sz="4" w:space="0"/>
            </w:tcBorders>
            <w:shd w:val="clear" w:color="000000" w:fill="FFFFFF"/>
            <w:vAlign w:val="center"/>
          </w:tcPr>
          <w:p w14:paraId="2CFD659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94" w:type="dxa"/>
            <w:tcBorders>
              <w:top w:val="nil"/>
              <w:left w:val="nil"/>
              <w:bottom w:val="single" w:color="auto" w:sz="4" w:space="0"/>
              <w:right w:val="single" w:color="auto" w:sz="4" w:space="0"/>
            </w:tcBorders>
            <w:shd w:val="clear" w:color="000000" w:fill="FFFFFF"/>
            <w:vAlign w:val="center"/>
          </w:tcPr>
          <w:p w14:paraId="776395FD">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-14.00</w:t>
            </w:r>
          </w:p>
        </w:tc>
      </w:tr>
      <w:tr w14:paraId="55C604DB">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7CBF857F">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534B3528">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公务接待费</w:t>
            </w:r>
          </w:p>
        </w:tc>
        <w:tc>
          <w:tcPr>
            <w:tcW w:w="1227" w:type="dxa"/>
            <w:tcBorders>
              <w:top w:val="nil"/>
              <w:left w:val="nil"/>
              <w:bottom w:val="single" w:color="auto" w:sz="4" w:space="0"/>
              <w:right w:val="single" w:color="auto" w:sz="4" w:space="0"/>
            </w:tcBorders>
            <w:shd w:val="clear" w:color="auto" w:fill="auto"/>
            <w:vAlign w:val="center"/>
          </w:tcPr>
          <w:p w14:paraId="3FD4962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10.00</w:t>
            </w:r>
          </w:p>
        </w:tc>
        <w:tc>
          <w:tcPr>
            <w:tcW w:w="1508" w:type="dxa"/>
            <w:tcBorders>
              <w:top w:val="nil"/>
              <w:left w:val="nil"/>
              <w:bottom w:val="single" w:color="auto" w:sz="4" w:space="0"/>
              <w:right w:val="single" w:color="auto" w:sz="4" w:space="0"/>
            </w:tcBorders>
            <w:shd w:val="clear" w:color="auto" w:fill="auto"/>
            <w:vAlign w:val="center"/>
          </w:tcPr>
          <w:p w14:paraId="6B2DE1E3">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2.45 </w:t>
            </w:r>
          </w:p>
        </w:tc>
        <w:tc>
          <w:tcPr>
            <w:tcW w:w="1151" w:type="dxa"/>
            <w:tcBorders>
              <w:top w:val="nil"/>
              <w:left w:val="nil"/>
              <w:bottom w:val="single" w:color="auto" w:sz="4" w:space="0"/>
              <w:right w:val="single" w:color="auto" w:sz="4" w:space="0"/>
            </w:tcBorders>
            <w:shd w:val="clear" w:color="auto" w:fill="auto"/>
            <w:vAlign w:val="center"/>
          </w:tcPr>
          <w:p w14:paraId="2CA76DBD">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2D721B9C">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704" w:type="dxa"/>
            <w:tcBorders>
              <w:top w:val="nil"/>
              <w:left w:val="nil"/>
              <w:bottom w:val="single" w:color="auto" w:sz="4" w:space="0"/>
              <w:right w:val="single" w:color="auto" w:sz="4" w:space="0"/>
            </w:tcBorders>
            <w:shd w:val="clear" w:color="000000" w:fill="FFFFFF"/>
            <w:vAlign w:val="center"/>
          </w:tcPr>
          <w:p w14:paraId="5B8E61D9">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10.00</w:t>
            </w:r>
          </w:p>
        </w:tc>
        <w:tc>
          <w:tcPr>
            <w:tcW w:w="1321" w:type="dxa"/>
            <w:tcBorders>
              <w:top w:val="nil"/>
              <w:left w:val="nil"/>
              <w:bottom w:val="single" w:color="auto" w:sz="4" w:space="0"/>
              <w:right w:val="single" w:color="auto" w:sz="4" w:space="0"/>
            </w:tcBorders>
            <w:shd w:val="clear" w:color="000000" w:fill="FFFFFF"/>
            <w:vAlign w:val="center"/>
          </w:tcPr>
          <w:p w14:paraId="6B166A09">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2.45</w:t>
            </w:r>
          </w:p>
        </w:tc>
        <w:tc>
          <w:tcPr>
            <w:tcW w:w="1394" w:type="dxa"/>
            <w:tcBorders>
              <w:top w:val="nil"/>
              <w:left w:val="nil"/>
              <w:bottom w:val="single" w:color="auto" w:sz="4" w:space="0"/>
              <w:right w:val="single" w:color="auto" w:sz="4" w:space="0"/>
            </w:tcBorders>
            <w:shd w:val="clear" w:color="000000" w:fill="FFFFFF"/>
            <w:vAlign w:val="center"/>
          </w:tcPr>
          <w:p w14:paraId="58E9256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-7.55</w:t>
            </w:r>
          </w:p>
        </w:tc>
      </w:tr>
      <w:tr w14:paraId="564B2B81">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57A86924">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6F8CAAA8">
            <w:pPr>
              <w:widowControl/>
              <w:ind w:firstLine="600" w:firstLineChars="3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租赁费</w:t>
            </w:r>
          </w:p>
        </w:tc>
        <w:tc>
          <w:tcPr>
            <w:tcW w:w="1227" w:type="dxa"/>
            <w:tcBorders>
              <w:top w:val="nil"/>
              <w:left w:val="nil"/>
              <w:bottom w:val="single" w:color="auto" w:sz="4" w:space="0"/>
              <w:right w:val="single" w:color="auto" w:sz="4" w:space="0"/>
            </w:tcBorders>
            <w:shd w:val="clear" w:color="auto" w:fill="auto"/>
            <w:vAlign w:val="center"/>
          </w:tcPr>
          <w:p w14:paraId="1239439B">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508" w:type="dxa"/>
            <w:tcBorders>
              <w:top w:val="nil"/>
              <w:left w:val="nil"/>
              <w:bottom w:val="single" w:color="auto" w:sz="4" w:space="0"/>
              <w:right w:val="single" w:color="auto" w:sz="4" w:space="0"/>
            </w:tcBorders>
            <w:shd w:val="clear" w:color="auto" w:fill="auto"/>
            <w:vAlign w:val="center"/>
          </w:tcPr>
          <w:p w14:paraId="7F45693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151" w:type="dxa"/>
            <w:tcBorders>
              <w:top w:val="nil"/>
              <w:left w:val="nil"/>
              <w:bottom w:val="single" w:color="auto" w:sz="4" w:space="0"/>
              <w:right w:val="single" w:color="auto" w:sz="4" w:space="0"/>
            </w:tcBorders>
            <w:shd w:val="clear" w:color="auto" w:fill="auto"/>
            <w:vAlign w:val="center"/>
          </w:tcPr>
          <w:p w14:paraId="774386D2">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334" w:type="dxa"/>
            <w:tcBorders>
              <w:top w:val="nil"/>
              <w:left w:val="nil"/>
              <w:bottom w:val="single" w:color="auto" w:sz="4" w:space="0"/>
              <w:right w:val="single" w:color="auto" w:sz="4" w:space="0"/>
            </w:tcBorders>
            <w:shd w:val="clear" w:color="auto" w:fill="auto"/>
            <w:vAlign w:val="center"/>
          </w:tcPr>
          <w:p w14:paraId="4A8F949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0.85 </w:t>
            </w:r>
          </w:p>
        </w:tc>
        <w:tc>
          <w:tcPr>
            <w:tcW w:w="704" w:type="dxa"/>
            <w:tcBorders>
              <w:top w:val="nil"/>
              <w:left w:val="nil"/>
              <w:bottom w:val="single" w:color="auto" w:sz="4" w:space="0"/>
              <w:right w:val="single" w:color="auto" w:sz="4" w:space="0"/>
            </w:tcBorders>
            <w:shd w:val="clear" w:color="000000" w:fill="FFFFFF"/>
            <w:vAlign w:val="center"/>
          </w:tcPr>
          <w:p w14:paraId="539D2A7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21" w:type="dxa"/>
            <w:tcBorders>
              <w:top w:val="nil"/>
              <w:left w:val="nil"/>
              <w:bottom w:val="single" w:color="auto" w:sz="4" w:space="0"/>
              <w:right w:val="single" w:color="auto" w:sz="4" w:space="0"/>
            </w:tcBorders>
            <w:shd w:val="clear" w:color="000000" w:fill="FFFFFF"/>
            <w:vAlign w:val="center"/>
          </w:tcPr>
          <w:p w14:paraId="7656DA5B">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394" w:type="dxa"/>
            <w:tcBorders>
              <w:top w:val="nil"/>
              <w:left w:val="nil"/>
              <w:bottom w:val="single" w:color="auto" w:sz="4" w:space="0"/>
              <w:right w:val="single" w:color="auto" w:sz="4" w:space="0"/>
            </w:tcBorders>
            <w:shd w:val="clear" w:color="000000" w:fill="FFFFFF"/>
            <w:vAlign w:val="center"/>
          </w:tcPr>
          <w:p w14:paraId="1065D59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r>
      <w:tr w14:paraId="79B6C83C">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7BC98BC8">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780DEB2F">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劳务费</w:t>
            </w:r>
          </w:p>
        </w:tc>
        <w:tc>
          <w:tcPr>
            <w:tcW w:w="1227" w:type="dxa"/>
            <w:tcBorders>
              <w:top w:val="nil"/>
              <w:left w:val="nil"/>
              <w:bottom w:val="single" w:color="auto" w:sz="4" w:space="0"/>
              <w:right w:val="single" w:color="auto" w:sz="4" w:space="0"/>
            </w:tcBorders>
            <w:shd w:val="clear" w:color="auto" w:fill="auto"/>
            <w:vAlign w:val="center"/>
          </w:tcPr>
          <w:p w14:paraId="2DDB7A2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508" w:type="dxa"/>
            <w:tcBorders>
              <w:top w:val="nil"/>
              <w:left w:val="nil"/>
              <w:bottom w:val="single" w:color="auto" w:sz="4" w:space="0"/>
              <w:right w:val="single" w:color="auto" w:sz="4" w:space="0"/>
            </w:tcBorders>
            <w:shd w:val="clear" w:color="auto" w:fill="auto"/>
            <w:vAlign w:val="center"/>
          </w:tcPr>
          <w:p w14:paraId="5810C8C2">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151" w:type="dxa"/>
            <w:tcBorders>
              <w:top w:val="nil"/>
              <w:left w:val="nil"/>
              <w:bottom w:val="single" w:color="auto" w:sz="4" w:space="0"/>
              <w:right w:val="single" w:color="auto" w:sz="4" w:space="0"/>
            </w:tcBorders>
            <w:shd w:val="clear" w:color="auto" w:fill="auto"/>
            <w:vAlign w:val="center"/>
          </w:tcPr>
          <w:p w14:paraId="3BBC96A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34" w:type="dxa"/>
            <w:tcBorders>
              <w:top w:val="nil"/>
              <w:left w:val="nil"/>
              <w:bottom w:val="single" w:color="auto" w:sz="4" w:space="0"/>
              <w:right w:val="single" w:color="auto" w:sz="4" w:space="0"/>
            </w:tcBorders>
            <w:shd w:val="clear" w:color="auto" w:fill="auto"/>
            <w:vAlign w:val="center"/>
          </w:tcPr>
          <w:p w14:paraId="0E85B47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27.43 </w:t>
            </w:r>
          </w:p>
        </w:tc>
        <w:tc>
          <w:tcPr>
            <w:tcW w:w="704" w:type="dxa"/>
            <w:tcBorders>
              <w:top w:val="nil"/>
              <w:left w:val="nil"/>
              <w:bottom w:val="single" w:color="auto" w:sz="4" w:space="0"/>
              <w:right w:val="single" w:color="auto" w:sz="4" w:space="0"/>
            </w:tcBorders>
            <w:shd w:val="clear" w:color="000000" w:fill="FFFFFF"/>
            <w:vAlign w:val="center"/>
          </w:tcPr>
          <w:p w14:paraId="43558E8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21" w:type="dxa"/>
            <w:tcBorders>
              <w:top w:val="nil"/>
              <w:left w:val="nil"/>
              <w:bottom w:val="single" w:color="auto" w:sz="4" w:space="0"/>
              <w:right w:val="single" w:color="auto" w:sz="4" w:space="0"/>
            </w:tcBorders>
            <w:shd w:val="clear" w:color="000000" w:fill="FFFFFF"/>
            <w:vAlign w:val="center"/>
          </w:tcPr>
          <w:p w14:paraId="462A438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27.43</w:t>
            </w:r>
          </w:p>
        </w:tc>
        <w:tc>
          <w:tcPr>
            <w:tcW w:w="1394" w:type="dxa"/>
            <w:tcBorders>
              <w:top w:val="nil"/>
              <w:left w:val="nil"/>
              <w:bottom w:val="single" w:color="auto" w:sz="4" w:space="0"/>
              <w:right w:val="single" w:color="auto" w:sz="4" w:space="0"/>
            </w:tcBorders>
            <w:shd w:val="clear" w:color="000000" w:fill="FFFFFF"/>
            <w:vAlign w:val="center"/>
          </w:tcPr>
          <w:p w14:paraId="372D5F5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27.43</w:t>
            </w:r>
          </w:p>
        </w:tc>
      </w:tr>
      <w:tr w14:paraId="64919D69">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2EF6E081">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37942B8E">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委托业务费</w:t>
            </w:r>
          </w:p>
        </w:tc>
        <w:tc>
          <w:tcPr>
            <w:tcW w:w="1227" w:type="dxa"/>
            <w:tcBorders>
              <w:top w:val="nil"/>
              <w:left w:val="nil"/>
              <w:bottom w:val="single" w:color="auto" w:sz="4" w:space="0"/>
              <w:right w:val="single" w:color="auto" w:sz="4" w:space="0"/>
            </w:tcBorders>
            <w:shd w:val="clear" w:color="auto" w:fill="auto"/>
            <w:vAlign w:val="center"/>
          </w:tcPr>
          <w:p w14:paraId="7806899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508" w:type="dxa"/>
            <w:tcBorders>
              <w:top w:val="nil"/>
              <w:left w:val="nil"/>
              <w:bottom w:val="single" w:color="auto" w:sz="4" w:space="0"/>
              <w:right w:val="single" w:color="auto" w:sz="4" w:space="0"/>
            </w:tcBorders>
            <w:shd w:val="clear" w:color="auto" w:fill="auto"/>
            <w:vAlign w:val="center"/>
          </w:tcPr>
          <w:p w14:paraId="5C179092">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151" w:type="dxa"/>
            <w:tcBorders>
              <w:top w:val="nil"/>
              <w:left w:val="nil"/>
              <w:bottom w:val="single" w:color="auto" w:sz="4" w:space="0"/>
              <w:right w:val="single" w:color="auto" w:sz="4" w:space="0"/>
            </w:tcBorders>
            <w:shd w:val="clear" w:color="auto" w:fill="auto"/>
            <w:vAlign w:val="center"/>
          </w:tcPr>
          <w:p w14:paraId="26FBCE7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65.00 </w:t>
            </w:r>
          </w:p>
        </w:tc>
        <w:tc>
          <w:tcPr>
            <w:tcW w:w="1334" w:type="dxa"/>
            <w:tcBorders>
              <w:top w:val="nil"/>
              <w:left w:val="nil"/>
              <w:bottom w:val="single" w:color="auto" w:sz="4" w:space="0"/>
              <w:right w:val="single" w:color="auto" w:sz="4" w:space="0"/>
            </w:tcBorders>
            <w:shd w:val="clear" w:color="auto" w:fill="auto"/>
            <w:vAlign w:val="center"/>
          </w:tcPr>
          <w:p w14:paraId="6A59AFCD">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34.33 </w:t>
            </w:r>
          </w:p>
        </w:tc>
        <w:tc>
          <w:tcPr>
            <w:tcW w:w="704" w:type="dxa"/>
            <w:tcBorders>
              <w:top w:val="nil"/>
              <w:left w:val="nil"/>
              <w:bottom w:val="single" w:color="auto" w:sz="4" w:space="0"/>
              <w:right w:val="single" w:color="auto" w:sz="4" w:space="0"/>
            </w:tcBorders>
            <w:shd w:val="clear" w:color="000000" w:fill="FFFFFF"/>
            <w:vAlign w:val="center"/>
          </w:tcPr>
          <w:p w14:paraId="45ACF49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65.00</w:t>
            </w:r>
          </w:p>
        </w:tc>
        <w:tc>
          <w:tcPr>
            <w:tcW w:w="1321" w:type="dxa"/>
            <w:tcBorders>
              <w:top w:val="nil"/>
              <w:left w:val="nil"/>
              <w:bottom w:val="single" w:color="auto" w:sz="4" w:space="0"/>
              <w:right w:val="single" w:color="auto" w:sz="4" w:space="0"/>
            </w:tcBorders>
            <w:shd w:val="clear" w:color="000000" w:fill="FFFFFF"/>
            <w:vAlign w:val="center"/>
          </w:tcPr>
          <w:p w14:paraId="40099C0B">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34.33</w:t>
            </w:r>
          </w:p>
        </w:tc>
        <w:tc>
          <w:tcPr>
            <w:tcW w:w="1394" w:type="dxa"/>
            <w:tcBorders>
              <w:top w:val="nil"/>
              <w:left w:val="nil"/>
              <w:bottom w:val="single" w:color="auto" w:sz="4" w:space="0"/>
              <w:right w:val="single" w:color="auto" w:sz="4" w:space="0"/>
            </w:tcBorders>
            <w:shd w:val="clear" w:color="000000" w:fill="FFFFFF"/>
            <w:vAlign w:val="center"/>
          </w:tcPr>
          <w:p w14:paraId="0F03732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-30.67</w:t>
            </w:r>
          </w:p>
        </w:tc>
      </w:tr>
      <w:tr w14:paraId="643CFF93">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7A555F45">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122B6A7A">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工会经费</w:t>
            </w:r>
          </w:p>
        </w:tc>
        <w:tc>
          <w:tcPr>
            <w:tcW w:w="1227" w:type="dxa"/>
            <w:tcBorders>
              <w:top w:val="nil"/>
              <w:left w:val="nil"/>
              <w:bottom w:val="single" w:color="auto" w:sz="4" w:space="0"/>
              <w:right w:val="single" w:color="auto" w:sz="4" w:space="0"/>
            </w:tcBorders>
            <w:shd w:val="clear" w:color="auto" w:fill="auto"/>
            <w:vAlign w:val="center"/>
          </w:tcPr>
          <w:p w14:paraId="58BDCA2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2.72</w:t>
            </w:r>
          </w:p>
        </w:tc>
        <w:tc>
          <w:tcPr>
            <w:tcW w:w="1508" w:type="dxa"/>
            <w:tcBorders>
              <w:top w:val="nil"/>
              <w:left w:val="nil"/>
              <w:bottom w:val="single" w:color="auto" w:sz="4" w:space="0"/>
              <w:right w:val="single" w:color="auto" w:sz="4" w:space="0"/>
            </w:tcBorders>
            <w:shd w:val="clear" w:color="auto" w:fill="auto"/>
            <w:vAlign w:val="center"/>
          </w:tcPr>
          <w:p w14:paraId="73A0B94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2.72 </w:t>
            </w:r>
          </w:p>
        </w:tc>
        <w:tc>
          <w:tcPr>
            <w:tcW w:w="1151" w:type="dxa"/>
            <w:tcBorders>
              <w:top w:val="nil"/>
              <w:left w:val="nil"/>
              <w:bottom w:val="single" w:color="auto" w:sz="4" w:space="0"/>
              <w:right w:val="single" w:color="auto" w:sz="4" w:space="0"/>
            </w:tcBorders>
            <w:shd w:val="clear" w:color="auto" w:fill="auto"/>
            <w:vAlign w:val="center"/>
          </w:tcPr>
          <w:p w14:paraId="4ED11AF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0.00 </w:t>
            </w:r>
          </w:p>
        </w:tc>
        <w:tc>
          <w:tcPr>
            <w:tcW w:w="1334" w:type="dxa"/>
            <w:tcBorders>
              <w:top w:val="nil"/>
              <w:left w:val="nil"/>
              <w:bottom w:val="single" w:color="auto" w:sz="4" w:space="0"/>
              <w:right w:val="single" w:color="auto" w:sz="4" w:space="0"/>
            </w:tcBorders>
            <w:shd w:val="clear" w:color="auto" w:fill="auto"/>
            <w:vAlign w:val="center"/>
          </w:tcPr>
          <w:p w14:paraId="6DBA352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704" w:type="dxa"/>
            <w:tcBorders>
              <w:top w:val="nil"/>
              <w:left w:val="nil"/>
              <w:bottom w:val="single" w:color="auto" w:sz="4" w:space="0"/>
              <w:right w:val="single" w:color="auto" w:sz="4" w:space="0"/>
            </w:tcBorders>
            <w:shd w:val="clear" w:color="000000" w:fill="FFFFFF"/>
            <w:vAlign w:val="center"/>
          </w:tcPr>
          <w:p w14:paraId="77BF50E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2.72</w:t>
            </w:r>
          </w:p>
        </w:tc>
        <w:tc>
          <w:tcPr>
            <w:tcW w:w="1321" w:type="dxa"/>
            <w:tcBorders>
              <w:top w:val="nil"/>
              <w:left w:val="nil"/>
              <w:bottom w:val="single" w:color="auto" w:sz="4" w:space="0"/>
              <w:right w:val="single" w:color="auto" w:sz="4" w:space="0"/>
            </w:tcBorders>
            <w:shd w:val="clear" w:color="000000" w:fill="FFFFFF"/>
            <w:vAlign w:val="center"/>
          </w:tcPr>
          <w:p w14:paraId="237DFC4D">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2.72</w:t>
            </w:r>
          </w:p>
        </w:tc>
        <w:tc>
          <w:tcPr>
            <w:tcW w:w="1394" w:type="dxa"/>
            <w:tcBorders>
              <w:top w:val="nil"/>
              <w:left w:val="nil"/>
              <w:bottom w:val="single" w:color="auto" w:sz="4" w:space="0"/>
              <w:right w:val="single" w:color="auto" w:sz="4" w:space="0"/>
            </w:tcBorders>
            <w:shd w:val="clear" w:color="000000" w:fill="FFFFFF"/>
            <w:vAlign w:val="center"/>
          </w:tcPr>
          <w:p w14:paraId="0FF2332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r>
      <w:tr w14:paraId="133BDF36">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5BAFC1A4">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59FC8A21">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福利费</w:t>
            </w:r>
          </w:p>
        </w:tc>
        <w:tc>
          <w:tcPr>
            <w:tcW w:w="1227" w:type="dxa"/>
            <w:tcBorders>
              <w:top w:val="nil"/>
              <w:left w:val="nil"/>
              <w:bottom w:val="single" w:color="auto" w:sz="4" w:space="0"/>
              <w:right w:val="single" w:color="auto" w:sz="4" w:space="0"/>
            </w:tcBorders>
            <w:shd w:val="clear" w:color="auto" w:fill="auto"/>
            <w:vAlign w:val="center"/>
          </w:tcPr>
          <w:p w14:paraId="63E4D9C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0.58</w:t>
            </w:r>
          </w:p>
        </w:tc>
        <w:tc>
          <w:tcPr>
            <w:tcW w:w="1508" w:type="dxa"/>
            <w:tcBorders>
              <w:top w:val="nil"/>
              <w:left w:val="nil"/>
              <w:bottom w:val="single" w:color="auto" w:sz="4" w:space="0"/>
              <w:right w:val="single" w:color="auto" w:sz="4" w:space="0"/>
            </w:tcBorders>
            <w:shd w:val="clear" w:color="auto" w:fill="auto"/>
            <w:vAlign w:val="center"/>
          </w:tcPr>
          <w:p w14:paraId="1879480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0.58 </w:t>
            </w:r>
          </w:p>
        </w:tc>
        <w:tc>
          <w:tcPr>
            <w:tcW w:w="1151" w:type="dxa"/>
            <w:tcBorders>
              <w:top w:val="nil"/>
              <w:left w:val="nil"/>
              <w:bottom w:val="single" w:color="auto" w:sz="4" w:space="0"/>
              <w:right w:val="single" w:color="auto" w:sz="4" w:space="0"/>
            </w:tcBorders>
            <w:shd w:val="clear" w:color="auto" w:fill="auto"/>
            <w:vAlign w:val="center"/>
          </w:tcPr>
          <w:p w14:paraId="4D58911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0.00 </w:t>
            </w:r>
          </w:p>
        </w:tc>
        <w:tc>
          <w:tcPr>
            <w:tcW w:w="1334" w:type="dxa"/>
            <w:tcBorders>
              <w:top w:val="nil"/>
              <w:left w:val="nil"/>
              <w:bottom w:val="single" w:color="auto" w:sz="4" w:space="0"/>
              <w:right w:val="single" w:color="auto" w:sz="4" w:space="0"/>
            </w:tcBorders>
            <w:shd w:val="clear" w:color="auto" w:fill="auto"/>
            <w:vAlign w:val="center"/>
          </w:tcPr>
          <w:p w14:paraId="67D0CA2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0.08 </w:t>
            </w:r>
          </w:p>
        </w:tc>
        <w:tc>
          <w:tcPr>
            <w:tcW w:w="704" w:type="dxa"/>
            <w:tcBorders>
              <w:top w:val="nil"/>
              <w:left w:val="nil"/>
              <w:bottom w:val="single" w:color="auto" w:sz="4" w:space="0"/>
              <w:right w:val="single" w:color="auto" w:sz="4" w:space="0"/>
            </w:tcBorders>
            <w:shd w:val="clear" w:color="000000" w:fill="FFFFFF"/>
            <w:vAlign w:val="center"/>
          </w:tcPr>
          <w:p w14:paraId="4F1756A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0.58</w:t>
            </w:r>
          </w:p>
        </w:tc>
        <w:tc>
          <w:tcPr>
            <w:tcW w:w="1321" w:type="dxa"/>
            <w:tcBorders>
              <w:top w:val="nil"/>
              <w:left w:val="nil"/>
              <w:bottom w:val="single" w:color="auto" w:sz="4" w:space="0"/>
              <w:right w:val="single" w:color="auto" w:sz="4" w:space="0"/>
            </w:tcBorders>
            <w:shd w:val="clear" w:color="000000" w:fill="FFFFFF"/>
            <w:vAlign w:val="center"/>
          </w:tcPr>
          <w:p w14:paraId="5CE41C2D">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0.66</w:t>
            </w:r>
          </w:p>
        </w:tc>
        <w:tc>
          <w:tcPr>
            <w:tcW w:w="1394" w:type="dxa"/>
            <w:tcBorders>
              <w:top w:val="nil"/>
              <w:left w:val="nil"/>
              <w:bottom w:val="single" w:color="auto" w:sz="4" w:space="0"/>
              <w:right w:val="single" w:color="auto" w:sz="4" w:space="0"/>
            </w:tcBorders>
            <w:shd w:val="clear" w:color="000000" w:fill="FFFFFF"/>
            <w:vAlign w:val="center"/>
          </w:tcPr>
          <w:p w14:paraId="1DA86D9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0.08</w:t>
            </w:r>
          </w:p>
        </w:tc>
      </w:tr>
      <w:tr w14:paraId="6A3F1065">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20F67A4E">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5722F8C4">
            <w:pPr>
              <w:widowControl/>
              <w:ind w:firstLine="600" w:firstLineChars="3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其他交通费</w:t>
            </w:r>
          </w:p>
        </w:tc>
        <w:tc>
          <w:tcPr>
            <w:tcW w:w="1227" w:type="dxa"/>
            <w:tcBorders>
              <w:top w:val="nil"/>
              <w:left w:val="nil"/>
              <w:bottom w:val="single" w:color="auto" w:sz="4" w:space="0"/>
              <w:right w:val="single" w:color="auto" w:sz="4" w:space="0"/>
            </w:tcBorders>
            <w:shd w:val="clear" w:color="auto" w:fill="auto"/>
            <w:vAlign w:val="center"/>
          </w:tcPr>
          <w:p w14:paraId="1A58B57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508" w:type="dxa"/>
            <w:tcBorders>
              <w:top w:val="nil"/>
              <w:left w:val="nil"/>
              <w:bottom w:val="single" w:color="auto" w:sz="4" w:space="0"/>
              <w:right w:val="single" w:color="auto" w:sz="4" w:space="0"/>
            </w:tcBorders>
            <w:shd w:val="clear" w:color="auto" w:fill="auto"/>
            <w:vAlign w:val="center"/>
          </w:tcPr>
          <w:p w14:paraId="5A28911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27.25 </w:t>
            </w:r>
          </w:p>
        </w:tc>
        <w:tc>
          <w:tcPr>
            <w:tcW w:w="1151" w:type="dxa"/>
            <w:tcBorders>
              <w:top w:val="nil"/>
              <w:left w:val="nil"/>
              <w:bottom w:val="single" w:color="auto" w:sz="4" w:space="0"/>
              <w:right w:val="single" w:color="auto" w:sz="4" w:space="0"/>
            </w:tcBorders>
            <w:shd w:val="clear" w:color="auto" w:fill="auto"/>
            <w:vAlign w:val="center"/>
          </w:tcPr>
          <w:p w14:paraId="20AEE5FD">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334" w:type="dxa"/>
            <w:tcBorders>
              <w:top w:val="nil"/>
              <w:left w:val="nil"/>
              <w:bottom w:val="single" w:color="auto" w:sz="4" w:space="0"/>
              <w:right w:val="single" w:color="auto" w:sz="4" w:space="0"/>
            </w:tcBorders>
            <w:shd w:val="clear" w:color="auto" w:fill="auto"/>
            <w:vAlign w:val="center"/>
          </w:tcPr>
          <w:p w14:paraId="21816BB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1.56 </w:t>
            </w:r>
          </w:p>
        </w:tc>
        <w:tc>
          <w:tcPr>
            <w:tcW w:w="704" w:type="dxa"/>
            <w:tcBorders>
              <w:top w:val="nil"/>
              <w:left w:val="nil"/>
              <w:bottom w:val="single" w:color="auto" w:sz="4" w:space="0"/>
              <w:right w:val="single" w:color="auto" w:sz="4" w:space="0"/>
            </w:tcBorders>
            <w:shd w:val="clear" w:color="000000" w:fill="FFFFFF"/>
            <w:vAlign w:val="center"/>
          </w:tcPr>
          <w:p w14:paraId="54C1143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21" w:type="dxa"/>
            <w:tcBorders>
              <w:top w:val="nil"/>
              <w:left w:val="nil"/>
              <w:bottom w:val="single" w:color="auto" w:sz="4" w:space="0"/>
              <w:right w:val="single" w:color="auto" w:sz="4" w:space="0"/>
            </w:tcBorders>
            <w:shd w:val="clear" w:color="000000" w:fill="FFFFFF"/>
            <w:vAlign w:val="center"/>
          </w:tcPr>
          <w:p w14:paraId="79C8DF9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394" w:type="dxa"/>
            <w:tcBorders>
              <w:top w:val="nil"/>
              <w:left w:val="nil"/>
              <w:bottom w:val="single" w:color="auto" w:sz="4" w:space="0"/>
              <w:right w:val="single" w:color="auto" w:sz="4" w:space="0"/>
            </w:tcBorders>
            <w:shd w:val="clear" w:color="000000" w:fill="FFFFFF"/>
            <w:vAlign w:val="center"/>
          </w:tcPr>
          <w:p w14:paraId="6C459DA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r>
      <w:tr w14:paraId="53D64D0F">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0930DF96">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564F3745">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公务用车运行维护费</w:t>
            </w:r>
          </w:p>
        </w:tc>
        <w:tc>
          <w:tcPr>
            <w:tcW w:w="1227" w:type="dxa"/>
            <w:tcBorders>
              <w:top w:val="nil"/>
              <w:left w:val="nil"/>
              <w:bottom w:val="single" w:color="auto" w:sz="4" w:space="0"/>
              <w:right w:val="single" w:color="auto" w:sz="4" w:space="0"/>
            </w:tcBorders>
            <w:shd w:val="clear" w:color="auto" w:fill="auto"/>
            <w:vAlign w:val="center"/>
          </w:tcPr>
          <w:p w14:paraId="55DDEF6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5.00</w:t>
            </w:r>
          </w:p>
        </w:tc>
        <w:tc>
          <w:tcPr>
            <w:tcW w:w="1508" w:type="dxa"/>
            <w:tcBorders>
              <w:top w:val="nil"/>
              <w:left w:val="nil"/>
              <w:bottom w:val="single" w:color="auto" w:sz="4" w:space="0"/>
              <w:right w:val="single" w:color="auto" w:sz="4" w:space="0"/>
            </w:tcBorders>
            <w:shd w:val="clear" w:color="auto" w:fill="auto"/>
            <w:vAlign w:val="center"/>
          </w:tcPr>
          <w:p w14:paraId="70E5860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151" w:type="dxa"/>
            <w:tcBorders>
              <w:top w:val="nil"/>
              <w:left w:val="nil"/>
              <w:bottom w:val="single" w:color="auto" w:sz="4" w:space="0"/>
              <w:right w:val="single" w:color="auto" w:sz="4" w:space="0"/>
            </w:tcBorders>
            <w:shd w:val="clear" w:color="auto" w:fill="auto"/>
            <w:vAlign w:val="center"/>
          </w:tcPr>
          <w:p w14:paraId="048DCBA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0.00 </w:t>
            </w:r>
          </w:p>
        </w:tc>
        <w:tc>
          <w:tcPr>
            <w:tcW w:w="1334" w:type="dxa"/>
            <w:tcBorders>
              <w:top w:val="nil"/>
              <w:left w:val="nil"/>
              <w:bottom w:val="single" w:color="auto" w:sz="4" w:space="0"/>
              <w:right w:val="single" w:color="auto" w:sz="4" w:space="0"/>
            </w:tcBorders>
            <w:shd w:val="clear" w:color="auto" w:fill="auto"/>
            <w:vAlign w:val="center"/>
          </w:tcPr>
          <w:p w14:paraId="624293C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5.24 </w:t>
            </w:r>
          </w:p>
        </w:tc>
        <w:tc>
          <w:tcPr>
            <w:tcW w:w="704" w:type="dxa"/>
            <w:tcBorders>
              <w:top w:val="nil"/>
              <w:left w:val="nil"/>
              <w:bottom w:val="single" w:color="auto" w:sz="4" w:space="0"/>
              <w:right w:val="single" w:color="auto" w:sz="4" w:space="0"/>
            </w:tcBorders>
            <w:shd w:val="clear" w:color="000000" w:fill="FFFFFF"/>
            <w:vAlign w:val="center"/>
          </w:tcPr>
          <w:p w14:paraId="27C54AC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5.00</w:t>
            </w:r>
          </w:p>
        </w:tc>
        <w:tc>
          <w:tcPr>
            <w:tcW w:w="1321" w:type="dxa"/>
            <w:tcBorders>
              <w:top w:val="nil"/>
              <w:left w:val="nil"/>
              <w:bottom w:val="single" w:color="auto" w:sz="4" w:space="0"/>
              <w:right w:val="single" w:color="auto" w:sz="4" w:space="0"/>
            </w:tcBorders>
            <w:shd w:val="clear" w:color="000000" w:fill="FFFFFF"/>
            <w:vAlign w:val="center"/>
          </w:tcPr>
          <w:p w14:paraId="7853C0F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5.24</w:t>
            </w:r>
          </w:p>
        </w:tc>
        <w:tc>
          <w:tcPr>
            <w:tcW w:w="1394" w:type="dxa"/>
            <w:tcBorders>
              <w:top w:val="nil"/>
              <w:left w:val="nil"/>
              <w:bottom w:val="single" w:color="auto" w:sz="4" w:space="0"/>
              <w:right w:val="single" w:color="auto" w:sz="4" w:space="0"/>
            </w:tcBorders>
            <w:shd w:val="clear" w:color="000000" w:fill="FFFFFF"/>
            <w:vAlign w:val="center"/>
          </w:tcPr>
          <w:p w14:paraId="739D1FA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0.24</w:t>
            </w:r>
          </w:p>
        </w:tc>
      </w:tr>
      <w:tr w14:paraId="28D721C7">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1EDB12A9">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423CF94B">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其他商品和服务支出</w:t>
            </w:r>
          </w:p>
        </w:tc>
        <w:tc>
          <w:tcPr>
            <w:tcW w:w="1227" w:type="dxa"/>
            <w:tcBorders>
              <w:top w:val="nil"/>
              <w:left w:val="nil"/>
              <w:bottom w:val="single" w:color="auto" w:sz="4" w:space="0"/>
              <w:right w:val="single" w:color="auto" w:sz="4" w:space="0"/>
            </w:tcBorders>
            <w:shd w:val="clear" w:color="auto" w:fill="auto"/>
            <w:vAlign w:val="center"/>
          </w:tcPr>
          <w:p w14:paraId="3C42FBA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10.00</w:t>
            </w:r>
          </w:p>
        </w:tc>
        <w:tc>
          <w:tcPr>
            <w:tcW w:w="1508" w:type="dxa"/>
            <w:tcBorders>
              <w:top w:val="nil"/>
              <w:left w:val="nil"/>
              <w:bottom w:val="single" w:color="auto" w:sz="4" w:space="0"/>
              <w:right w:val="single" w:color="auto" w:sz="4" w:space="0"/>
            </w:tcBorders>
            <w:shd w:val="clear" w:color="auto" w:fill="auto"/>
            <w:vAlign w:val="center"/>
          </w:tcPr>
          <w:p w14:paraId="7290531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24.97 </w:t>
            </w:r>
          </w:p>
        </w:tc>
        <w:tc>
          <w:tcPr>
            <w:tcW w:w="1151" w:type="dxa"/>
            <w:tcBorders>
              <w:top w:val="nil"/>
              <w:left w:val="nil"/>
              <w:bottom w:val="single" w:color="auto" w:sz="4" w:space="0"/>
              <w:right w:val="single" w:color="auto" w:sz="4" w:space="0"/>
            </w:tcBorders>
            <w:shd w:val="clear" w:color="auto" w:fill="auto"/>
            <w:vAlign w:val="center"/>
          </w:tcPr>
          <w:p w14:paraId="786E1AA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42.70 </w:t>
            </w:r>
          </w:p>
        </w:tc>
        <w:tc>
          <w:tcPr>
            <w:tcW w:w="1334" w:type="dxa"/>
            <w:tcBorders>
              <w:top w:val="nil"/>
              <w:left w:val="nil"/>
              <w:bottom w:val="single" w:color="auto" w:sz="4" w:space="0"/>
              <w:right w:val="single" w:color="auto" w:sz="4" w:space="0"/>
            </w:tcBorders>
            <w:shd w:val="clear" w:color="auto" w:fill="auto"/>
            <w:vAlign w:val="center"/>
          </w:tcPr>
          <w:p w14:paraId="0A1AAEB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35.00 </w:t>
            </w:r>
          </w:p>
        </w:tc>
        <w:tc>
          <w:tcPr>
            <w:tcW w:w="704" w:type="dxa"/>
            <w:tcBorders>
              <w:top w:val="nil"/>
              <w:left w:val="nil"/>
              <w:bottom w:val="single" w:color="auto" w:sz="4" w:space="0"/>
              <w:right w:val="single" w:color="auto" w:sz="4" w:space="0"/>
            </w:tcBorders>
            <w:shd w:val="clear" w:color="000000" w:fill="FFFFFF"/>
            <w:vAlign w:val="center"/>
          </w:tcPr>
          <w:p w14:paraId="5F4F4CA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52.70</w:t>
            </w:r>
          </w:p>
        </w:tc>
        <w:tc>
          <w:tcPr>
            <w:tcW w:w="1321" w:type="dxa"/>
            <w:tcBorders>
              <w:top w:val="nil"/>
              <w:left w:val="nil"/>
              <w:bottom w:val="single" w:color="auto" w:sz="4" w:space="0"/>
              <w:right w:val="single" w:color="auto" w:sz="4" w:space="0"/>
            </w:tcBorders>
            <w:shd w:val="clear" w:color="000000" w:fill="FFFFFF"/>
            <w:vAlign w:val="center"/>
          </w:tcPr>
          <w:p w14:paraId="33BC6CFE">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59.97</w:t>
            </w:r>
          </w:p>
        </w:tc>
        <w:tc>
          <w:tcPr>
            <w:tcW w:w="1394" w:type="dxa"/>
            <w:tcBorders>
              <w:top w:val="nil"/>
              <w:left w:val="nil"/>
              <w:bottom w:val="single" w:color="auto" w:sz="4" w:space="0"/>
              <w:right w:val="single" w:color="auto" w:sz="4" w:space="0"/>
            </w:tcBorders>
            <w:shd w:val="clear" w:color="000000" w:fill="FFFFFF"/>
            <w:vAlign w:val="center"/>
          </w:tcPr>
          <w:p w14:paraId="391C453A">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7.27</w:t>
            </w:r>
          </w:p>
        </w:tc>
      </w:tr>
      <w:tr w14:paraId="5E2F8EDB">
        <w:tblPrEx>
          <w:tblCellMar>
            <w:top w:w="0" w:type="dxa"/>
            <w:left w:w="108" w:type="dxa"/>
            <w:bottom w:w="0" w:type="dxa"/>
            <w:right w:w="108" w:type="dxa"/>
          </w:tblCellMar>
        </w:tblPrEx>
        <w:trPr>
          <w:trHeight w:val="340" w:hRule="exact"/>
        </w:trPr>
        <w:tc>
          <w:tcPr>
            <w:tcW w:w="2083" w:type="dxa"/>
            <w:vMerge w:val="restart"/>
            <w:tcBorders>
              <w:top w:val="nil"/>
              <w:left w:val="single" w:color="auto" w:sz="4" w:space="0"/>
              <w:bottom w:val="single" w:color="auto" w:sz="4" w:space="0"/>
              <w:right w:val="single" w:color="auto" w:sz="4" w:space="0"/>
            </w:tcBorders>
            <w:shd w:val="clear" w:color="auto" w:fill="auto"/>
            <w:vAlign w:val="center"/>
          </w:tcPr>
          <w:p w14:paraId="099AE1CC">
            <w:pPr>
              <w:widowControl/>
              <w:ind w:firstLine="400" w:firstLineChars="200"/>
              <w:jc w:val="center"/>
              <w:rPr>
                <w:rFonts w:ascii="宋体" w:hAnsi="宋体" w:eastAsia="宋体" w:cs="宋体"/>
                <w:kern w:val="0"/>
                <w:sz w:val="20"/>
                <w:szCs w:val="20"/>
              </w:rPr>
            </w:pPr>
            <w:r>
              <w:rPr>
                <w:rFonts w:hint="eastAsia" w:ascii="宋体" w:hAnsi="宋体" w:eastAsia="宋体" w:cs="宋体"/>
                <w:kern w:val="0"/>
                <w:sz w:val="20"/>
                <w:szCs w:val="20"/>
              </w:rPr>
              <w:t>对个人和家庭的补助</w:t>
            </w:r>
          </w:p>
        </w:tc>
        <w:tc>
          <w:tcPr>
            <w:tcW w:w="3452" w:type="dxa"/>
            <w:tcBorders>
              <w:top w:val="nil"/>
              <w:left w:val="nil"/>
              <w:bottom w:val="single" w:color="auto" w:sz="4" w:space="0"/>
              <w:right w:val="single" w:color="auto" w:sz="4" w:space="0"/>
            </w:tcBorders>
            <w:shd w:val="clear" w:color="000000" w:fill="FFFFFF"/>
            <w:vAlign w:val="center"/>
          </w:tcPr>
          <w:p w14:paraId="458F3304">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小计</w:t>
            </w:r>
          </w:p>
        </w:tc>
        <w:tc>
          <w:tcPr>
            <w:tcW w:w="1227" w:type="dxa"/>
            <w:tcBorders>
              <w:top w:val="nil"/>
              <w:left w:val="nil"/>
              <w:bottom w:val="single" w:color="auto" w:sz="4" w:space="0"/>
              <w:right w:val="single" w:color="auto" w:sz="4" w:space="0"/>
            </w:tcBorders>
            <w:shd w:val="clear" w:color="auto" w:fill="auto"/>
            <w:vAlign w:val="center"/>
          </w:tcPr>
          <w:p w14:paraId="3F33F4E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12.93</w:t>
            </w:r>
          </w:p>
        </w:tc>
        <w:tc>
          <w:tcPr>
            <w:tcW w:w="1508" w:type="dxa"/>
            <w:tcBorders>
              <w:top w:val="nil"/>
              <w:left w:val="nil"/>
              <w:bottom w:val="single" w:color="auto" w:sz="4" w:space="0"/>
              <w:right w:val="single" w:color="auto" w:sz="4" w:space="0"/>
            </w:tcBorders>
            <w:shd w:val="clear" w:color="auto" w:fill="auto"/>
            <w:vAlign w:val="center"/>
          </w:tcPr>
          <w:p w14:paraId="19C116A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29.00 </w:t>
            </w:r>
          </w:p>
        </w:tc>
        <w:tc>
          <w:tcPr>
            <w:tcW w:w="1151" w:type="dxa"/>
            <w:tcBorders>
              <w:top w:val="nil"/>
              <w:left w:val="nil"/>
              <w:bottom w:val="single" w:color="auto" w:sz="4" w:space="0"/>
              <w:right w:val="single" w:color="auto" w:sz="4" w:space="0"/>
            </w:tcBorders>
            <w:shd w:val="clear" w:color="auto" w:fill="auto"/>
            <w:vAlign w:val="center"/>
          </w:tcPr>
          <w:p w14:paraId="3533037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0.00 </w:t>
            </w:r>
          </w:p>
        </w:tc>
        <w:tc>
          <w:tcPr>
            <w:tcW w:w="1334" w:type="dxa"/>
            <w:tcBorders>
              <w:top w:val="nil"/>
              <w:left w:val="nil"/>
              <w:bottom w:val="single" w:color="auto" w:sz="4" w:space="0"/>
              <w:right w:val="single" w:color="auto" w:sz="4" w:space="0"/>
            </w:tcBorders>
            <w:shd w:val="clear" w:color="auto" w:fill="auto"/>
            <w:vAlign w:val="center"/>
          </w:tcPr>
          <w:p w14:paraId="1AD75013">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0.00 </w:t>
            </w:r>
          </w:p>
        </w:tc>
        <w:tc>
          <w:tcPr>
            <w:tcW w:w="704" w:type="dxa"/>
            <w:tcBorders>
              <w:top w:val="nil"/>
              <w:left w:val="nil"/>
              <w:bottom w:val="single" w:color="auto" w:sz="4" w:space="0"/>
              <w:right w:val="single" w:color="auto" w:sz="4" w:space="0"/>
            </w:tcBorders>
            <w:shd w:val="clear" w:color="000000" w:fill="FFFFFF"/>
            <w:vAlign w:val="center"/>
          </w:tcPr>
          <w:p w14:paraId="412AB08B">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12.93</w:t>
            </w:r>
          </w:p>
        </w:tc>
        <w:tc>
          <w:tcPr>
            <w:tcW w:w="1321" w:type="dxa"/>
            <w:tcBorders>
              <w:top w:val="nil"/>
              <w:left w:val="nil"/>
              <w:bottom w:val="single" w:color="auto" w:sz="4" w:space="0"/>
              <w:right w:val="single" w:color="auto" w:sz="4" w:space="0"/>
            </w:tcBorders>
            <w:shd w:val="clear" w:color="000000" w:fill="FFFFFF"/>
            <w:vAlign w:val="center"/>
          </w:tcPr>
          <w:p w14:paraId="0D6EAB5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29.00</w:t>
            </w:r>
          </w:p>
        </w:tc>
        <w:tc>
          <w:tcPr>
            <w:tcW w:w="1394" w:type="dxa"/>
            <w:tcBorders>
              <w:top w:val="nil"/>
              <w:left w:val="nil"/>
              <w:bottom w:val="single" w:color="auto" w:sz="4" w:space="0"/>
              <w:right w:val="single" w:color="auto" w:sz="4" w:space="0"/>
            </w:tcBorders>
            <w:shd w:val="clear" w:color="000000" w:fill="FFFFFF"/>
            <w:vAlign w:val="center"/>
          </w:tcPr>
          <w:p w14:paraId="002810E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16.07</w:t>
            </w:r>
          </w:p>
        </w:tc>
      </w:tr>
      <w:tr w14:paraId="1225EF8B">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04F915C4">
            <w:pPr>
              <w:widowControl/>
              <w:ind w:firstLine="400" w:firstLineChars="200"/>
              <w:jc w:val="left"/>
              <w:rPr>
                <w:rFonts w:ascii="宋体" w:hAnsi="宋体" w:eastAsia="宋体" w:cs="宋体"/>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230817B4">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退休费</w:t>
            </w:r>
          </w:p>
        </w:tc>
        <w:tc>
          <w:tcPr>
            <w:tcW w:w="1227" w:type="dxa"/>
            <w:tcBorders>
              <w:top w:val="nil"/>
              <w:left w:val="nil"/>
              <w:bottom w:val="single" w:color="auto" w:sz="4" w:space="0"/>
              <w:right w:val="single" w:color="auto" w:sz="4" w:space="0"/>
            </w:tcBorders>
            <w:shd w:val="clear" w:color="auto" w:fill="auto"/>
            <w:vAlign w:val="center"/>
          </w:tcPr>
          <w:p w14:paraId="638167D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12.79</w:t>
            </w:r>
          </w:p>
        </w:tc>
        <w:tc>
          <w:tcPr>
            <w:tcW w:w="1508" w:type="dxa"/>
            <w:tcBorders>
              <w:top w:val="nil"/>
              <w:left w:val="nil"/>
              <w:bottom w:val="single" w:color="auto" w:sz="4" w:space="0"/>
              <w:right w:val="single" w:color="auto" w:sz="4" w:space="0"/>
            </w:tcBorders>
            <w:shd w:val="clear" w:color="auto" w:fill="auto"/>
            <w:vAlign w:val="center"/>
          </w:tcPr>
          <w:p w14:paraId="4091FBCF">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19.47 </w:t>
            </w:r>
          </w:p>
        </w:tc>
        <w:tc>
          <w:tcPr>
            <w:tcW w:w="1151" w:type="dxa"/>
            <w:tcBorders>
              <w:top w:val="nil"/>
              <w:left w:val="nil"/>
              <w:bottom w:val="single" w:color="auto" w:sz="4" w:space="0"/>
              <w:right w:val="single" w:color="auto" w:sz="4" w:space="0"/>
            </w:tcBorders>
            <w:shd w:val="clear" w:color="auto" w:fill="auto"/>
            <w:vAlign w:val="center"/>
          </w:tcPr>
          <w:p w14:paraId="60569C3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0.00 </w:t>
            </w:r>
          </w:p>
        </w:tc>
        <w:tc>
          <w:tcPr>
            <w:tcW w:w="1334" w:type="dxa"/>
            <w:tcBorders>
              <w:top w:val="nil"/>
              <w:left w:val="nil"/>
              <w:bottom w:val="single" w:color="auto" w:sz="4" w:space="0"/>
              <w:right w:val="single" w:color="auto" w:sz="4" w:space="0"/>
            </w:tcBorders>
            <w:shd w:val="clear" w:color="auto" w:fill="auto"/>
            <w:vAlign w:val="center"/>
          </w:tcPr>
          <w:p w14:paraId="4419B24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704" w:type="dxa"/>
            <w:tcBorders>
              <w:top w:val="nil"/>
              <w:left w:val="nil"/>
              <w:bottom w:val="single" w:color="auto" w:sz="4" w:space="0"/>
              <w:right w:val="single" w:color="auto" w:sz="4" w:space="0"/>
            </w:tcBorders>
            <w:shd w:val="clear" w:color="000000" w:fill="FFFFFF"/>
            <w:vAlign w:val="center"/>
          </w:tcPr>
          <w:p w14:paraId="5E09D6BA">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12.79</w:t>
            </w:r>
          </w:p>
        </w:tc>
        <w:tc>
          <w:tcPr>
            <w:tcW w:w="1321" w:type="dxa"/>
            <w:tcBorders>
              <w:top w:val="nil"/>
              <w:left w:val="nil"/>
              <w:bottom w:val="single" w:color="auto" w:sz="4" w:space="0"/>
              <w:right w:val="single" w:color="auto" w:sz="4" w:space="0"/>
            </w:tcBorders>
            <w:shd w:val="clear" w:color="000000" w:fill="FFFFFF"/>
            <w:vAlign w:val="center"/>
          </w:tcPr>
          <w:p w14:paraId="5BA6BA2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19.47</w:t>
            </w:r>
          </w:p>
        </w:tc>
        <w:tc>
          <w:tcPr>
            <w:tcW w:w="1394" w:type="dxa"/>
            <w:tcBorders>
              <w:top w:val="nil"/>
              <w:left w:val="nil"/>
              <w:bottom w:val="single" w:color="auto" w:sz="4" w:space="0"/>
              <w:right w:val="single" w:color="auto" w:sz="4" w:space="0"/>
            </w:tcBorders>
            <w:shd w:val="clear" w:color="000000" w:fill="FFFFFF"/>
            <w:vAlign w:val="center"/>
          </w:tcPr>
          <w:p w14:paraId="405D4A03">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6.68</w:t>
            </w:r>
          </w:p>
        </w:tc>
      </w:tr>
      <w:tr w14:paraId="7D4D3388">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6CCD73F2">
            <w:pPr>
              <w:widowControl/>
              <w:ind w:firstLine="400" w:firstLineChars="200"/>
              <w:jc w:val="left"/>
              <w:rPr>
                <w:rFonts w:ascii="宋体" w:hAnsi="宋体" w:eastAsia="宋体" w:cs="宋体"/>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5C9F1C63">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奖励金</w:t>
            </w:r>
          </w:p>
        </w:tc>
        <w:tc>
          <w:tcPr>
            <w:tcW w:w="1227" w:type="dxa"/>
            <w:tcBorders>
              <w:top w:val="nil"/>
              <w:left w:val="nil"/>
              <w:bottom w:val="single" w:color="auto" w:sz="4" w:space="0"/>
              <w:right w:val="single" w:color="auto" w:sz="4" w:space="0"/>
            </w:tcBorders>
            <w:shd w:val="clear" w:color="auto" w:fill="auto"/>
            <w:vAlign w:val="center"/>
          </w:tcPr>
          <w:p w14:paraId="0B4877F6">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0.14</w:t>
            </w:r>
          </w:p>
        </w:tc>
        <w:tc>
          <w:tcPr>
            <w:tcW w:w="1508" w:type="dxa"/>
            <w:tcBorders>
              <w:top w:val="nil"/>
              <w:left w:val="nil"/>
              <w:bottom w:val="single" w:color="auto" w:sz="4" w:space="0"/>
              <w:right w:val="single" w:color="auto" w:sz="4" w:space="0"/>
            </w:tcBorders>
            <w:shd w:val="clear" w:color="auto" w:fill="auto"/>
            <w:vAlign w:val="center"/>
          </w:tcPr>
          <w:p w14:paraId="59D7745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9.53 </w:t>
            </w:r>
          </w:p>
        </w:tc>
        <w:tc>
          <w:tcPr>
            <w:tcW w:w="1151" w:type="dxa"/>
            <w:tcBorders>
              <w:top w:val="nil"/>
              <w:left w:val="nil"/>
              <w:bottom w:val="single" w:color="auto" w:sz="4" w:space="0"/>
              <w:right w:val="single" w:color="auto" w:sz="4" w:space="0"/>
            </w:tcBorders>
            <w:shd w:val="clear" w:color="auto" w:fill="auto"/>
            <w:vAlign w:val="center"/>
          </w:tcPr>
          <w:p w14:paraId="69EDBF69">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0.00 </w:t>
            </w:r>
          </w:p>
        </w:tc>
        <w:tc>
          <w:tcPr>
            <w:tcW w:w="1334" w:type="dxa"/>
            <w:tcBorders>
              <w:top w:val="nil"/>
              <w:left w:val="nil"/>
              <w:bottom w:val="single" w:color="auto" w:sz="4" w:space="0"/>
              <w:right w:val="single" w:color="auto" w:sz="4" w:space="0"/>
            </w:tcBorders>
            <w:shd w:val="clear" w:color="auto" w:fill="auto"/>
            <w:vAlign w:val="center"/>
          </w:tcPr>
          <w:p w14:paraId="5EC1B4AD">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704" w:type="dxa"/>
            <w:tcBorders>
              <w:top w:val="nil"/>
              <w:left w:val="nil"/>
              <w:bottom w:val="single" w:color="auto" w:sz="4" w:space="0"/>
              <w:right w:val="single" w:color="auto" w:sz="4" w:space="0"/>
            </w:tcBorders>
            <w:shd w:val="clear" w:color="000000" w:fill="FFFFFF"/>
            <w:vAlign w:val="center"/>
          </w:tcPr>
          <w:p w14:paraId="04E2DCD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0.14</w:t>
            </w:r>
          </w:p>
        </w:tc>
        <w:tc>
          <w:tcPr>
            <w:tcW w:w="1321" w:type="dxa"/>
            <w:tcBorders>
              <w:top w:val="nil"/>
              <w:left w:val="nil"/>
              <w:bottom w:val="single" w:color="auto" w:sz="4" w:space="0"/>
              <w:right w:val="single" w:color="auto" w:sz="4" w:space="0"/>
            </w:tcBorders>
            <w:shd w:val="clear" w:color="000000" w:fill="FFFFFF"/>
            <w:vAlign w:val="center"/>
          </w:tcPr>
          <w:p w14:paraId="43C8CDE1">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9.53</w:t>
            </w:r>
          </w:p>
        </w:tc>
        <w:tc>
          <w:tcPr>
            <w:tcW w:w="1394" w:type="dxa"/>
            <w:tcBorders>
              <w:top w:val="nil"/>
              <w:left w:val="nil"/>
              <w:bottom w:val="single" w:color="auto" w:sz="4" w:space="0"/>
              <w:right w:val="single" w:color="auto" w:sz="4" w:space="0"/>
            </w:tcBorders>
            <w:shd w:val="clear" w:color="000000" w:fill="FFFFFF"/>
            <w:vAlign w:val="center"/>
          </w:tcPr>
          <w:p w14:paraId="4181CB52">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9.39</w:t>
            </w:r>
          </w:p>
        </w:tc>
      </w:tr>
      <w:tr w14:paraId="4E734FDF">
        <w:tblPrEx>
          <w:tblCellMar>
            <w:top w:w="0" w:type="dxa"/>
            <w:left w:w="108" w:type="dxa"/>
            <w:bottom w:w="0" w:type="dxa"/>
            <w:right w:w="108" w:type="dxa"/>
          </w:tblCellMar>
        </w:tblPrEx>
        <w:trPr>
          <w:trHeight w:val="340" w:hRule="exact"/>
        </w:trPr>
        <w:tc>
          <w:tcPr>
            <w:tcW w:w="2083" w:type="dxa"/>
            <w:vMerge w:val="restart"/>
            <w:tcBorders>
              <w:top w:val="nil"/>
              <w:left w:val="single" w:color="auto" w:sz="4" w:space="0"/>
              <w:bottom w:val="single" w:color="auto" w:sz="4" w:space="0"/>
              <w:right w:val="single" w:color="auto" w:sz="4" w:space="0"/>
            </w:tcBorders>
            <w:shd w:val="clear" w:color="000000" w:fill="FFFFFF"/>
            <w:vAlign w:val="center"/>
          </w:tcPr>
          <w:p w14:paraId="5378A970">
            <w:pPr>
              <w:widowControl/>
              <w:ind w:firstLine="400" w:firstLineChars="200"/>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机关资本性支出</w:t>
            </w:r>
          </w:p>
        </w:tc>
        <w:tc>
          <w:tcPr>
            <w:tcW w:w="3452" w:type="dxa"/>
            <w:tcBorders>
              <w:top w:val="nil"/>
              <w:left w:val="nil"/>
              <w:bottom w:val="single" w:color="auto" w:sz="4" w:space="0"/>
              <w:right w:val="single" w:color="auto" w:sz="4" w:space="0"/>
            </w:tcBorders>
            <w:shd w:val="clear" w:color="000000" w:fill="FFFFFF"/>
            <w:vAlign w:val="center"/>
          </w:tcPr>
          <w:p w14:paraId="22FE2465">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小计</w:t>
            </w:r>
          </w:p>
        </w:tc>
        <w:tc>
          <w:tcPr>
            <w:tcW w:w="1227" w:type="dxa"/>
            <w:tcBorders>
              <w:top w:val="nil"/>
              <w:left w:val="nil"/>
              <w:bottom w:val="single" w:color="auto" w:sz="4" w:space="0"/>
              <w:right w:val="single" w:color="auto" w:sz="4" w:space="0"/>
            </w:tcBorders>
            <w:shd w:val="clear" w:color="auto" w:fill="auto"/>
            <w:vAlign w:val="center"/>
          </w:tcPr>
          <w:p w14:paraId="01B2BEDC">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508" w:type="dxa"/>
            <w:tcBorders>
              <w:top w:val="nil"/>
              <w:left w:val="nil"/>
              <w:bottom w:val="single" w:color="auto" w:sz="4" w:space="0"/>
              <w:right w:val="single" w:color="auto" w:sz="4" w:space="0"/>
            </w:tcBorders>
            <w:shd w:val="clear" w:color="auto" w:fill="auto"/>
            <w:vAlign w:val="center"/>
          </w:tcPr>
          <w:p w14:paraId="729B9D9B">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0.00 </w:t>
            </w:r>
          </w:p>
        </w:tc>
        <w:tc>
          <w:tcPr>
            <w:tcW w:w="1151" w:type="dxa"/>
            <w:tcBorders>
              <w:top w:val="nil"/>
              <w:left w:val="nil"/>
              <w:bottom w:val="single" w:color="auto" w:sz="4" w:space="0"/>
              <w:right w:val="single" w:color="auto" w:sz="4" w:space="0"/>
            </w:tcBorders>
            <w:shd w:val="clear" w:color="auto" w:fill="auto"/>
            <w:vAlign w:val="center"/>
          </w:tcPr>
          <w:p w14:paraId="01F89C2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0.00 </w:t>
            </w:r>
          </w:p>
        </w:tc>
        <w:tc>
          <w:tcPr>
            <w:tcW w:w="1334" w:type="dxa"/>
            <w:tcBorders>
              <w:top w:val="nil"/>
              <w:left w:val="nil"/>
              <w:bottom w:val="single" w:color="auto" w:sz="4" w:space="0"/>
              <w:right w:val="single" w:color="auto" w:sz="4" w:space="0"/>
            </w:tcBorders>
            <w:shd w:val="clear" w:color="auto" w:fill="auto"/>
            <w:vAlign w:val="center"/>
          </w:tcPr>
          <w:p w14:paraId="175C82C5">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1.67 </w:t>
            </w:r>
          </w:p>
        </w:tc>
        <w:tc>
          <w:tcPr>
            <w:tcW w:w="704" w:type="dxa"/>
            <w:tcBorders>
              <w:top w:val="nil"/>
              <w:left w:val="nil"/>
              <w:bottom w:val="single" w:color="auto" w:sz="4" w:space="0"/>
              <w:right w:val="single" w:color="auto" w:sz="4" w:space="0"/>
            </w:tcBorders>
            <w:shd w:val="clear" w:color="000000" w:fill="FFFFFF"/>
            <w:vAlign w:val="center"/>
          </w:tcPr>
          <w:p w14:paraId="37358B77">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0.00</w:t>
            </w:r>
          </w:p>
        </w:tc>
        <w:tc>
          <w:tcPr>
            <w:tcW w:w="1321" w:type="dxa"/>
            <w:tcBorders>
              <w:top w:val="nil"/>
              <w:left w:val="nil"/>
              <w:bottom w:val="single" w:color="auto" w:sz="4" w:space="0"/>
              <w:right w:val="single" w:color="auto" w:sz="4" w:space="0"/>
            </w:tcBorders>
            <w:shd w:val="clear" w:color="000000" w:fill="FFFFFF"/>
            <w:vAlign w:val="center"/>
          </w:tcPr>
          <w:p w14:paraId="045F60DB">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1.67</w:t>
            </w:r>
          </w:p>
        </w:tc>
        <w:tc>
          <w:tcPr>
            <w:tcW w:w="1394" w:type="dxa"/>
            <w:tcBorders>
              <w:top w:val="nil"/>
              <w:left w:val="nil"/>
              <w:bottom w:val="single" w:color="auto" w:sz="4" w:space="0"/>
              <w:right w:val="single" w:color="auto" w:sz="4" w:space="0"/>
            </w:tcBorders>
            <w:shd w:val="clear" w:color="000000" w:fill="FFFFFF"/>
            <w:vAlign w:val="center"/>
          </w:tcPr>
          <w:p w14:paraId="32EC916A">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1.67</w:t>
            </w:r>
          </w:p>
        </w:tc>
      </w:tr>
      <w:tr w14:paraId="287658C8">
        <w:tblPrEx>
          <w:tblCellMar>
            <w:top w:w="0" w:type="dxa"/>
            <w:left w:w="108" w:type="dxa"/>
            <w:bottom w:w="0" w:type="dxa"/>
            <w:right w:w="108" w:type="dxa"/>
          </w:tblCellMar>
        </w:tblPrEx>
        <w:trPr>
          <w:trHeight w:val="340" w:hRule="exact"/>
        </w:trPr>
        <w:tc>
          <w:tcPr>
            <w:tcW w:w="2083" w:type="dxa"/>
            <w:vMerge w:val="continue"/>
            <w:tcBorders>
              <w:top w:val="nil"/>
              <w:left w:val="single" w:color="auto" w:sz="4" w:space="0"/>
              <w:bottom w:val="single" w:color="auto" w:sz="4" w:space="0"/>
              <w:right w:val="single" w:color="auto" w:sz="4" w:space="0"/>
            </w:tcBorders>
            <w:vAlign w:val="center"/>
          </w:tcPr>
          <w:p w14:paraId="207A71AC">
            <w:pPr>
              <w:widowControl/>
              <w:ind w:firstLine="400" w:firstLineChars="200"/>
              <w:jc w:val="left"/>
              <w:rPr>
                <w:rFonts w:ascii="宋体" w:hAnsi="宋体" w:eastAsia="宋体" w:cs="宋体"/>
                <w:color w:val="000000"/>
                <w:kern w:val="0"/>
                <w:sz w:val="20"/>
                <w:szCs w:val="20"/>
              </w:rPr>
            </w:pPr>
          </w:p>
        </w:tc>
        <w:tc>
          <w:tcPr>
            <w:tcW w:w="3452" w:type="dxa"/>
            <w:tcBorders>
              <w:top w:val="nil"/>
              <w:left w:val="nil"/>
              <w:bottom w:val="single" w:color="auto" w:sz="4" w:space="0"/>
              <w:right w:val="single" w:color="auto" w:sz="4" w:space="0"/>
            </w:tcBorders>
            <w:shd w:val="clear" w:color="000000" w:fill="FFFFFF"/>
            <w:vAlign w:val="center"/>
          </w:tcPr>
          <w:p w14:paraId="27C9AD6F">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其他资本性支出</w:t>
            </w:r>
          </w:p>
        </w:tc>
        <w:tc>
          <w:tcPr>
            <w:tcW w:w="1227" w:type="dxa"/>
            <w:tcBorders>
              <w:top w:val="nil"/>
              <w:left w:val="nil"/>
              <w:bottom w:val="single" w:color="auto" w:sz="4" w:space="0"/>
              <w:right w:val="single" w:color="auto" w:sz="4" w:space="0"/>
            </w:tcBorders>
            <w:shd w:val="clear" w:color="auto" w:fill="auto"/>
            <w:vAlign w:val="center"/>
          </w:tcPr>
          <w:p w14:paraId="2F172DA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508" w:type="dxa"/>
            <w:tcBorders>
              <w:top w:val="nil"/>
              <w:left w:val="nil"/>
              <w:bottom w:val="single" w:color="auto" w:sz="4" w:space="0"/>
              <w:right w:val="single" w:color="auto" w:sz="4" w:space="0"/>
            </w:tcBorders>
            <w:shd w:val="clear" w:color="auto" w:fill="auto"/>
            <w:vAlign w:val="center"/>
          </w:tcPr>
          <w:p w14:paraId="31A6B8FC">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w:t>
            </w:r>
          </w:p>
        </w:tc>
        <w:tc>
          <w:tcPr>
            <w:tcW w:w="1151" w:type="dxa"/>
            <w:tcBorders>
              <w:top w:val="nil"/>
              <w:left w:val="nil"/>
              <w:bottom w:val="single" w:color="auto" w:sz="4" w:space="0"/>
              <w:right w:val="single" w:color="auto" w:sz="4" w:space="0"/>
            </w:tcBorders>
            <w:shd w:val="clear" w:color="auto" w:fill="auto"/>
            <w:vAlign w:val="center"/>
          </w:tcPr>
          <w:p w14:paraId="02B51518">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6.00 </w:t>
            </w:r>
          </w:p>
        </w:tc>
        <w:tc>
          <w:tcPr>
            <w:tcW w:w="1334" w:type="dxa"/>
            <w:tcBorders>
              <w:top w:val="nil"/>
              <w:left w:val="nil"/>
              <w:bottom w:val="single" w:color="auto" w:sz="4" w:space="0"/>
              <w:right w:val="single" w:color="auto" w:sz="4" w:space="0"/>
            </w:tcBorders>
            <w:shd w:val="clear" w:color="auto" w:fill="auto"/>
            <w:vAlign w:val="center"/>
          </w:tcPr>
          <w:p w14:paraId="4E74BF44">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 xml:space="preserve">1.67 </w:t>
            </w:r>
          </w:p>
        </w:tc>
        <w:tc>
          <w:tcPr>
            <w:tcW w:w="704" w:type="dxa"/>
            <w:tcBorders>
              <w:top w:val="nil"/>
              <w:left w:val="nil"/>
              <w:bottom w:val="single" w:color="auto" w:sz="4" w:space="0"/>
              <w:right w:val="single" w:color="auto" w:sz="4" w:space="0"/>
            </w:tcBorders>
            <w:shd w:val="clear" w:color="000000" w:fill="FFFFFF"/>
            <w:vAlign w:val="center"/>
          </w:tcPr>
          <w:p w14:paraId="4B1D2D70">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6.00</w:t>
            </w:r>
          </w:p>
        </w:tc>
        <w:tc>
          <w:tcPr>
            <w:tcW w:w="1321" w:type="dxa"/>
            <w:tcBorders>
              <w:top w:val="nil"/>
              <w:left w:val="nil"/>
              <w:bottom w:val="single" w:color="auto" w:sz="4" w:space="0"/>
              <w:right w:val="single" w:color="auto" w:sz="4" w:space="0"/>
            </w:tcBorders>
            <w:shd w:val="clear" w:color="000000" w:fill="FFFFFF"/>
            <w:vAlign w:val="center"/>
          </w:tcPr>
          <w:p w14:paraId="7A6E47EB">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1.67</w:t>
            </w:r>
          </w:p>
        </w:tc>
        <w:tc>
          <w:tcPr>
            <w:tcW w:w="1394" w:type="dxa"/>
            <w:tcBorders>
              <w:top w:val="nil"/>
              <w:left w:val="nil"/>
              <w:bottom w:val="single" w:color="auto" w:sz="4" w:space="0"/>
              <w:right w:val="single" w:color="auto" w:sz="4" w:space="0"/>
            </w:tcBorders>
            <w:shd w:val="clear" w:color="000000" w:fill="FFFFFF"/>
            <w:vAlign w:val="center"/>
          </w:tcPr>
          <w:p w14:paraId="724DE5CD">
            <w:pPr>
              <w:widowControl/>
              <w:ind w:firstLine="400" w:firstLineChars="200"/>
              <w:jc w:val="right"/>
              <w:rPr>
                <w:rFonts w:ascii="Arial Narrow" w:hAnsi="Arial Narrow" w:eastAsia="宋体" w:cs="宋体"/>
                <w:color w:val="000000"/>
                <w:kern w:val="0"/>
                <w:sz w:val="20"/>
                <w:szCs w:val="20"/>
              </w:rPr>
            </w:pPr>
            <w:r>
              <w:rPr>
                <w:rFonts w:ascii="Arial Narrow" w:hAnsi="Arial Narrow" w:eastAsia="宋体" w:cs="宋体"/>
                <w:color w:val="000000"/>
                <w:kern w:val="0"/>
                <w:sz w:val="20"/>
                <w:szCs w:val="20"/>
              </w:rPr>
              <w:t>-4.33</w:t>
            </w:r>
          </w:p>
        </w:tc>
      </w:tr>
    </w:tbl>
    <w:p w14:paraId="0FFA098D">
      <w:pPr>
        <w:spacing w:line="360" w:lineRule="auto"/>
        <w:ind w:firstLine="560" w:firstLineChars="200"/>
        <w:jc w:val="center"/>
        <w:rPr>
          <w:rFonts w:ascii="宋体" w:hAnsi="宋体" w:eastAsia="宋体" w:cs="宋体"/>
          <w:kern w:val="0"/>
          <w:sz w:val="28"/>
          <w:szCs w:val="28"/>
        </w:rPr>
      </w:pPr>
    </w:p>
    <w:p w14:paraId="518571DE">
      <w:pPr>
        <w:spacing w:line="360" w:lineRule="auto"/>
        <w:ind w:right="560"/>
        <w:rPr>
          <w:rFonts w:ascii="宋体" w:hAnsi="宋体" w:eastAsia="宋体"/>
          <w:sz w:val="28"/>
          <w:szCs w:val="28"/>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瀹嬩綋">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81487">
    <w:pPr>
      <w:pStyle w:val="11"/>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D905A0">
    <w:pPr>
      <w:pStyle w:val="11"/>
      <w:jc w:val="center"/>
    </w:pPr>
    <w:r>
      <w:fldChar w:fldCharType="begin"/>
    </w:r>
    <w:r>
      <w:instrText xml:space="preserve"> PAGE   \* MERGEFORMAT </w:instrText>
    </w:r>
    <w:r>
      <w:fldChar w:fldCharType="separate"/>
    </w:r>
    <w:r>
      <w:rPr>
        <w:lang w:val="zh-CN"/>
      </w:rPr>
      <w:t>18</w:t>
    </w:r>
    <w:r>
      <w:rPr>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776992"/>
    </w:sdtPr>
    <w:sdtContent>
      <w:p w14:paraId="37399B76">
        <w:pPr>
          <w:pStyle w:val="11"/>
          <w:jc w:val="center"/>
        </w:pPr>
        <w:r>
          <w:fldChar w:fldCharType="begin"/>
        </w:r>
        <w:r>
          <w:instrText xml:space="preserve"> PAGE   \* MERGEFORMAT </w:instrText>
        </w:r>
        <w:r>
          <w:fldChar w:fldCharType="separate"/>
        </w:r>
        <w:r>
          <w:rPr>
            <w:lang w:val="zh-CN"/>
          </w:rPr>
          <w:t>1</w:t>
        </w:r>
        <w:r>
          <w:rPr>
            <w:lang w:val="zh-CN"/>
          </w:rPr>
          <w:fldChar w:fldCharType="end"/>
        </w:r>
      </w:p>
    </w:sdtContent>
  </w:sdt>
  <w:p w14:paraId="407A72FC">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1D88B">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D39C1"/>
    <w:rsid w:val="00003EFA"/>
    <w:rsid w:val="00005874"/>
    <w:rsid w:val="00016683"/>
    <w:rsid w:val="00016720"/>
    <w:rsid w:val="00017A8C"/>
    <w:rsid w:val="0002510A"/>
    <w:rsid w:val="00033EFA"/>
    <w:rsid w:val="000340CF"/>
    <w:rsid w:val="0003653D"/>
    <w:rsid w:val="00046E15"/>
    <w:rsid w:val="0005015E"/>
    <w:rsid w:val="00050E8F"/>
    <w:rsid w:val="00053F58"/>
    <w:rsid w:val="000566FB"/>
    <w:rsid w:val="0005700D"/>
    <w:rsid w:val="0006015A"/>
    <w:rsid w:val="00061946"/>
    <w:rsid w:val="00061DD8"/>
    <w:rsid w:val="000664BE"/>
    <w:rsid w:val="00067FEB"/>
    <w:rsid w:val="000749F3"/>
    <w:rsid w:val="00076004"/>
    <w:rsid w:val="00076602"/>
    <w:rsid w:val="00076A7E"/>
    <w:rsid w:val="00080285"/>
    <w:rsid w:val="00094CBF"/>
    <w:rsid w:val="00095C07"/>
    <w:rsid w:val="000964DA"/>
    <w:rsid w:val="000A0AA5"/>
    <w:rsid w:val="000A454E"/>
    <w:rsid w:val="000B4981"/>
    <w:rsid w:val="000B4FA1"/>
    <w:rsid w:val="000B5F95"/>
    <w:rsid w:val="000B72C8"/>
    <w:rsid w:val="000C577F"/>
    <w:rsid w:val="000C6A6C"/>
    <w:rsid w:val="000C6B25"/>
    <w:rsid w:val="000D3128"/>
    <w:rsid w:val="000D3132"/>
    <w:rsid w:val="000D3552"/>
    <w:rsid w:val="000D4414"/>
    <w:rsid w:val="000E145E"/>
    <w:rsid w:val="000E1EA5"/>
    <w:rsid w:val="000E4880"/>
    <w:rsid w:val="000E4B8D"/>
    <w:rsid w:val="000E622B"/>
    <w:rsid w:val="000F102E"/>
    <w:rsid w:val="000F1B4D"/>
    <w:rsid w:val="000F1CBE"/>
    <w:rsid w:val="000F25CF"/>
    <w:rsid w:val="000F5877"/>
    <w:rsid w:val="0010308F"/>
    <w:rsid w:val="00110B36"/>
    <w:rsid w:val="00112A9D"/>
    <w:rsid w:val="00127A6B"/>
    <w:rsid w:val="00133180"/>
    <w:rsid w:val="00133D3E"/>
    <w:rsid w:val="001433BF"/>
    <w:rsid w:val="00146696"/>
    <w:rsid w:val="0014672B"/>
    <w:rsid w:val="00150215"/>
    <w:rsid w:val="001517C2"/>
    <w:rsid w:val="00152064"/>
    <w:rsid w:val="00157073"/>
    <w:rsid w:val="001606CB"/>
    <w:rsid w:val="00161CAD"/>
    <w:rsid w:val="00163441"/>
    <w:rsid w:val="00165560"/>
    <w:rsid w:val="001658B2"/>
    <w:rsid w:val="00174368"/>
    <w:rsid w:val="00174528"/>
    <w:rsid w:val="0017586F"/>
    <w:rsid w:val="0017649A"/>
    <w:rsid w:val="001771C8"/>
    <w:rsid w:val="00177E5E"/>
    <w:rsid w:val="00181FEB"/>
    <w:rsid w:val="00182860"/>
    <w:rsid w:val="00182FAC"/>
    <w:rsid w:val="00183D30"/>
    <w:rsid w:val="00184CAD"/>
    <w:rsid w:val="00192749"/>
    <w:rsid w:val="00194225"/>
    <w:rsid w:val="001942D1"/>
    <w:rsid w:val="001943AC"/>
    <w:rsid w:val="001947F5"/>
    <w:rsid w:val="001A26A9"/>
    <w:rsid w:val="001B412C"/>
    <w:rsid w:val="001B4400"/>
    <w:rsid w:val="001B7017"/>
    <w:rsid w:val="001B7FDF"/>
    <w:rsid w:val="001C004B"/>
    <w:rsid w:val="001C3431"/>
    <w:rsid w:val="001C366B"/>
    <w:rsid w:val="001C4958"/>
    <w:rsid w:val="001C64B4"/>
    <w:rsid w:val="001D28CB"/>
    <w:rsid w:val="001D57AE"/>
    <w:rsid w:val="001E1715"/>
    <w:rsid w:val="001E2325"/>
    <w:rsid w:val="001E29AC"/>
    <w:rsid w:val="001F0A54"/>
    <w:rsid w:val="001F5C54"/>
    <w:rsid w:val="001F63BE"/>
    <w:rsid w:val="00204217"/>
    <w:rsid w:val="002053D7"/>
    <w:rsid w:val="002054F0"/>
    <w:rsid w:val="00205820"/>
    <w:rsid w:val="0020586E"/>
    <w:rsid w:val="00207F1A"/>
    <w:rsid w:val="00213964"/>
    <w:rsid w:val="00221BF8"/>
    <w:rsid w:val="002230F2"/>
    <w:rsid w:val="00227AEB"/>
    <w:rsid w:val="00230BD3"/>
    <w:rsid w:val="00230E35"/>
    <w:rsid w:val="00232099"/>
    <w:rsid w:val="00233BF0"/>
    <w:rsid w:val="002340D5"/>
    <w:rsid w:val="002355A9"/>
    <w:rsid w:val="00235B96"/>
    <w:rsid w:val="00240530"/>
    <w:rsid w:val="00240BDF"/>
    <w:rsid w:val="002513B9"/>
    <w:rsid w:val="00251765"/>
    <w:rsid w:val="00255941"/>
    <w:rsid w:val="002575C5"/>
    <w:rsid w:val="002613CA"/>
    <w:rsid w:val="002614C2"/>
    <w:rsid w:val="00261C2C"/>
    <w:rsid w:val="00265525"/>
    <w:rsid w:val="002659C9"/>
    <w:rsid w:val="00265ED5"/>
    <w:rsid w:val="002816FF"/>
    <w:rsid w:val="00281B02"/>
    <w:rsid w:val="00282814"/>
    <w:rsid w:val="0028396D"/>
    <w:rsid w:val="00283A30"/>
    <w:rsid w:val="002859ED"/>
    <w:rsid w:val="00287BEF"/>
    <w:rsid w:val="00291FBB"/>
    <w:rsid w:val="002959E9"/>
    <w:rsid w:val="002A2605"/>
    <w:rsid w:val="002A797D"/>
    <w:rsid w:val="002B14CC"/>
    <w:rsid w:val="002B2A74"/>
    <w:rsid w:val="002B32C7"/>
    <w:rsid w:val="002B4C17"/>
    <w:rsid w:val="002C0429"/>
    <w:rsid w:val="002C35D6"/>
    <w:rsid w:val="002C4AFE"/>
    <w:rsid w:val="002C5731"/>
    <w:rsid w:val="002D67AA"/>
    <w:rsid w:val="002D7BF4"/>
    <w:rsid w:val="002E0508"/>
    <w:rsid w:val="002E5451"/>
    <w:rsid w:val="002E56ED"/>
    <w:rsid w:val="002E66BE"/>
    <w:rsid w:val="002E7CF8"/>
    <w:rsid w:val="002F0000"/>
    <w:rsid w:val="002F10F9"/>
    <w:rsid w:val="002F1786"/>
    <w:rsid w:val="0030247C"/>
    <w:rsid w:val="0030368D"/>
    <w:rsid w:val="00307077"/>
    <w:rsid w:val="00307F95"/>
    <w:rsid w:val="00311AE2"/>
    <w:rsid w:val="003156CA"/>
    <w:rsid w:val="003175E3"/>
    <w:rsid w:val="00320054"/>
    <w:rsid w:val="00322CF2"/>
    <w:rsid w:val="00324D06"/>
    <w:rsid w:val="00326927"/>
    <w:rsid w:val="00327697"/>
    <w:rsid w:val="003277D8"/>
    <w:rsid w:val="00331437"/>
    <w:rsid w:val="00331E34"/>
    <w:rsid w:val="003337B1"/>
    <w:rsid w:val="00347836"/>
    <w:rsid w:val="00350BED"/>
    <w:rsid w:val="00351D44"/>
    <w:rsid w:val="003544A7"/>
    <w:rsid w:val="00355BD9"/>
    <w:rsid w:val="0036015F"/>
    <w:rsid w:val="00363682"/>
    <w:rsid w:val="0036395B"/>
    <w:rsid w:val="00363B74"/>
    <w:rsid w:val="00365182"/>
    <w:rsid w:val="00365D86"/>
    <w:rsid w:val="00373EA0"/>
    <w:rsid w:val="00373F9E"/>
    <w:rsid w:val="00374C8D"/>
    <w:rsid w:val="00375A3D"/>
    <w:rsid w:val="00385E20"/>
    <w:rsid w:val="00391652"/>
    <w:rsid w:val="00391CFB"/>
    <w:rsid w:val="00392A0C"/>
    <w:rsid w:val="00394ECE"/>
    <w:rsid w:val="003A00D3"/>
    <w:rsid w:val="003A0C4F"/>
    <w:rsid w:val="003B2CB7"/>
    <w:rsid w:val="003B2EC3"/>
    <w:rsid w:val="003B3754"/>
    <w:rsid w:val="003C1AF9"/>
    <w:rsid w:val="003C1D7C"/>
    <w:rsid w:val="003C44C5"/>
    <w:rsid w:val="003C4DC2"/>
    <w:rsid w:val="003C4E66"/>
    <w:rsid w:val="003C7E2D"/>
    <w:rsid w:val="003D242A"/>
    <w:rsid w:val="003D2CD4"/>
    <w:rsid w:val="003D7C45"/>
    <w:rsid w:val="003E019E"/>
    <w:rsid w:val="003E1522"/>
    <w:rsid w:val="003E7412"/>
    <w:rsid w:val="003F79B0"/>
    <w:rsid w:val="00401B2B"/>
    <w:rsid w:val="00406BBC"/>
    <w:rsid w:val="0041174B"/>
    <w:rsid w:val="004117F5"/>
    <w:rsid w:val="00414E27"/>
    <w:rsid w:val="004168FF"/>
    <w:rsid w:val="004236CC"/>
    <w:rsid w:val="004257C9"/>
    <w:rsid w:val="004354E5"/>
    <w:rsid w:val="00440E95"/>
    <w:rsid w:val="00441C8B"/>
    <w:rsid w:val="00442BCB"/>
    <w:rsid w:val="0045026E"/>
    <w:rsid w:val="00454694"/>
    <w:rsid w:val="004673C6"/>
    <w:rsid w:val="004753CC"/>
    <w:rsid w:val="00483B08"/>
    <w:rsid w:val="00491812"/>
    <w:rsid w:val="0049388D"/>
    <w:rsid w:val="0049474E"/>
    <w:rsid w:val="00494B39"/>
    <w:rsid w:val="00495513"/>
    <w:rsid w:val="004A53AA"/>
    <w:rsid w:val="004A5915"/>
    <w:rsid w:val="004B3A67"/>
    <w:rsid w:val="004B4877"/>
    <w:rsid w:val="004C1FE5"/>
    <w:rsid w:val="004C3144"/>
    <w:rsid w:val="004C68E2"/>
    <w:rsid w:val="004C737A"/>
    <w:rsid w:val="004C79AB"/>
    <w:rsid w:val="004D395F"/>
    <w:rsid w:val="004D3A26"/>
    <w:rsid w:val="004D477B"/>
    <w:rsid w:val="004D5527"/>
    <w:rsid w:val="004D581B"/>
    <w:rsid w:val="004D77D4"/>
    <w:rsid w:val="004E0066"/>
    <w:rsid w:val="004E13D4"/>
    <w:rsid w:val="004E5369"/>
    <w:rsid w:val="004E6271"/>
    <w:rsid w:val="004F6115"/>
    <w:rsid w:val="00502376"/>
    <w:rsid w:val="00503007"/>
    <w:rsid w:val="00504F3D"/>
    <w:rsid w:val="005076DE"/>
    <w:rsid w:val="00511224"/>
    <w:rsid w:val="0053404B"/>
    <w:rsid w:val="00545DAE"/>
    <w:rsid w:val="005543B6"/>
    <w:rsid w:val="005579F6"/>
    <w:rsid w:val="00560037"/>
    <w:rsid w:val="0056052A"/>
    <w:rsid w:val="00560A18"/>
    <w:rsid w:val="0056176F"/>
    <w:rsid w:val="0057242B"/>
    <w:rsid w:val="0057312D"/>
    <w:rsid w:val="005733E6"/>
    <w:rsid w:val="005777C3"/>
    <w:rsid w:val="00581E1B"/>
    <w:rsid w:val="0059334F"/>
    <w:rsid w:val="00594972"/>
    <w:rsid w:val="005A163E"/>
    <w:rsid w:val="005A3E7B"/>
    <w:rsid w:val="005B16A7"/>
    <w:rsid w:val="005B7A49"/>
    <w:rsid w:val="005C00CC"/>
    <w:rsid w:val="005C14D1"/>
    <w:rsid w:val="005C30B6"/>
    <w:rsid w:val="005C5C62"/>
    <w:rsid w:val="005C5CBD"/>
    <w:rsid w:val="005C7983"/>
    <w:rsid w:val="005D2886"/>
    <w:rsid w:val="005D39E8"/>
    <w:rsid w:val="005D4D2D"/>
    <w:rsid w:val="005E6289"/>
    <w:rsid w:val="005F265A"/>
    <w:rsid w:val="005F375E"/>
    <w:rsid w:val="005F4E12"/>
    <w:rsid w:val="005F7968"/>
    <w:rsid w:val="00606EF5"/>
    <w:rsid w:val="006110FE"/>
    <w:rsid w:val="0061369A"/>
    <w:rsid w:val="00621B46"/>
    <w:rsid w:val="00623857"/>
    <w:rsid w:val="00633AAE"/>
    <w:rsid w:val="006415F7"/>
    <w:rsid w:val="0064678D"/>
    <w:rsid w:val="006515FD"/>
    <w:rsid w:val="006536C2"/>
    <w:rsid w:val="006658E4"/>
    <w:rsid w:val="00670510"/>
    <w:rsid w:val="006771F4"/>
    <w:rsid w:val="00680040"/>
    <w:rsid w:val="00680BB4"/>
    <w:rsid w:val="006811C9"/>
    <w:rsid w:val="006862C3"/>
    <w:rsid w:val="006974E1"/>
    <w:rsid w:val="006A0261"/>
    <w:rsid w:val="006A47FD"/>
    <w:rsid w:val="006A5137"/>
    <w:rsid w:val="006A572F"/>
    <w:rsid w:val="006B5FD3"/>
    <w:rsid w:val="006B61D2"/>
    <w:rsid w:val="006B6736"/>
    <w:rsid w:val="006B7388"/>
    <w:rsid w:val="006C32D7"/>
    <w:rsid w:val="006C45B4"/>
    <w:rsid w:val="006C5D13"/>
    <w:rsid w:val="006C5D2D"/>
    <w:rsid w:val="006C6FD0"/>
    <w:rsid w:val="006D028B"/>
    <w:rsid w:val="006D2B9E"/>
    <w:rsid w:val="006D769E"/>
    <w:rsid w:val="006E4B2C"/>
    <w:rsid w:val="006E6113"/>
    <w:rsid w:val="006E6982"/>
    <w:rsid w:val="006F107E"/>
    <w:rsid w:val="006F2E94"/>
    <w:rsid w:val="006F7468"/>
    <w:rsid w:val="00700C87"/>
    <w:rsid w:val="00700D8B"/>
    <w:rsid w:val="00702578"/>
    <w:rsid w:val="007025DC"/>
    <w:rsid w:val="00705E0F"/>
    <w:rsid w:val="00706475"/>
    <w:rsid w:val="00711A51"/>
    <w:rsid w:val="007152CA"/>
    <w:rsid w:val="00716082"/>
    <w:rsid w:val="0072123E"/>
    <w:rsid w:val="007215C6"/>
    <w:rsid w:val="00724238"/>
    <w:rsid w:val="00725C23"/>
    <w:rsid w:val="00732A00"/>
    <w:rsid w:val="00734F74"/>
    <w:rsid w:val="00737277"/>
    <w:rsid w:val="00737C18"/>
    <w:rsid w:val="00737F6C"/>
    <w:rsid w:val="00743779"/>
    <w:rsid w:val="00744B7A"/>
    <w:rsid w:val="00745765"/>
    <w:rsid w:val="00750186"/>
    <w:rsid w:val="0076061F"/>
    <w:rsid w:val="00767196"/>
    <w:rsid w:val="00770171"/>
    <w:rsid w:val="00776F44"/>
    <w:rsid w:val="00785629"/>
    <w:rsid w:val="00796116"/>
    <w:rsid w:val="007A1D45"/>
    <w:rsid w:val="007A5CB3"/>
    <w:rsid w:val="007A7F97"/>
    <w:rsid w:val="007B1C00"/>
    <w:rsid w:val="007B2BB2"/>
    <w:rsid w:val="007B5E2D"/>
    <w:rsid w:val="007C18D0"/>
    <w:rsid w:val="007C192F"/>
    <w:rsid w:val="007C25A7"/>
    <w:rsid w:val="007C3D3A"/>
    <w:rsid w:val="007C46E7"/>
    <w:rsid w:val="007D0235"/>
    <w:rsid w:val="007D6214"/>
    <w:rsid w:val="007D6B80"/>
    <w:rsid w:val="007D74BF"/>
    <w:rsid w:val="007E0332"/>
    <w:rsid w:val="007E5BF9"/>
    <w:rsid w:val="007F1FAE"/>
    <w:rsid w:val="007F21A4"/>
    <w:rsid w:val="007F3876"/>
    <w:rsid w:val="008001A0"/>
    <w:rsid w:val="00800DA7"/>
    <w:rsid w:val="00800FC4"/>
    <w:rsid w:val="0080657B"/>
    <w:rsid w:val="0080666D"/>
    <w:rsid w:val="00811122"/>
    <w:rsid w:val="008236B4"/>
    <w:rsid w:val="0082433E"/>
    <w:rsid w:val="00830E3D"/>
    <w:rsid w:val="008357C8"/>
    <w:rsid w:val="00840A8E"/>
    <w:rsid w:val="0084774A"/>
    <w:rsid w:val="00850901"/>
    <w:rsid w:val="0085793E"/>
    <w:rsid w:val="00860B64"/>
    <w:rsid w:val="00862C82"/>
    <w:rsid w:val="00870D54"/>
    <w:rsid w:val="00871155"/>
    <w:rsid w:val="00872279"/>
    <w:rsid w:val="00872E1B"/>
    <w:rsid w:val="00876CBC"/>
    <w:rsid w:val="0089261E"/>
    <w:rsid w:val="008930D0"/>
    <w:rsid w:val="0089371B"/>
    <w:rsid w:val="00893F2C"/>
    <w:rsid w:val="00897550"/>
    <w:rsid w:val="008A05F4"/>
    <w:rsid w:val="008A6489"/>
    <w:rsid w:val="008A6F6D"/>
    <w:rsid w:val="008A7F14"/>
    <w:rsid w:val="008B2F4B"/>
    <w:rsid w:val="008B49EA"/>
    <w:rsid w:val="008B7208"/>
    <w:rsid w:val="008C0440"/>
    <w:rsid w:val="008C2776"/>
    <w:rsid w:val="008C3EB5"/>
    <w:rsid w:val="008C52EB"/>
    <w:rsid w:val="008D1085"/>
    <w:rsid w:val="008D36E3"/>
    <w:rsid w:val="008D3B4E"/>
    <w:rsid w:val="008D67FD"/>
    <w:rsid w:val="008E1782"/>
    <w:rsid w:val="008E1CE5"/>
    <w:rsid w:val="008E4FB7"/>
    <w:rsid w:val="008E7587"/>
    <w:rsid w:val="008E7BB1"/>
    <w:rsid w:val="008F416D"/>
    <w:rsid w:val="00903D6B"/>
    <w:rsid w:val="00910A5E"/>
    <w:rsid w:val="00913B35"/>
    <w:rsid w:val="009161F4"/>
    <w:rsid w:val="009228BD"/>
    <w:rsid w:val="009260FE"/>
    <w:rsid w:val="009269EF"/>
    <w:rsid w:val="00926A3F"/>
    <w:rsid w:val="009270DB"/>
    <w:rsid w:val="00930BE2"/>
    <w:rsid w:val="00936B78"/>
    <w:rsid w:val="009503F6"/>
    <w:rsid w:val="00951C5D"/>
    <w:rsid w:val="00953FAF"/>
    <w:rsid w:val="009675E5"/>
    <w:rsid w:val="00974F3B"/>
    <w:rsid w:val="009833F2"/>
    <w:rsid w:val="00983C5D"/>
    <w:rsid w:val="00984DCB"/>
    <w:rsid w:val="00987E61"/>
    <w:rsid w:val="009913EF"/>
    <w:rsid w:val="0099262E"/>
    <w:rsid w:val="0099448B"/>
    <w:rsid w:val="00994530"/>
    <w:rsid w:val="009B0C91"/>
    <w:rsid w:val="009B50AD"/>
    <w:rsid w:val="009B67E5"/>
    <w:rsid w:val="009C1D12"/>
    <w:rsid w:val="009D2DC3"/>
    <w:rsid w:val="009D3E44"/>
    <w:rsid w:val="009E1D7F"/>
    <w:rsid w:val="009E2F35"/>
    <w:rsid w:val="009E5B0E"/>
    <w:rsid w:val="009F1439"/>
    <w:rsid w:val="009F1FEA"/>
    <w:rsid w:val="009F4604"/>
    <w:rsid w:val="009F4615"/>
    <w:rsid w:val="00A12B59"/>
    <w:rsid w:val="00A134A0"/>
    <w:rsid w:val="00A24CD6"/>
    <w:rsid w:val="00A27883"/>
    <w:rsid w:val="00A27C9E"/>
    <w:rsid w:val="00A3428E"/>
    <w:rsid w:val="00A34546"/>
    <w:rsid w:val="00A42B6E"/>
    <w:rsid w:val="00A43244"/>
    <w:rsid w:val="00A43441"/>
    <w:rsid w:val="00A51C21"/>
    <w:rsid w:val="00A51CB9"/>
    <w:rsid w:val="00A53DDE"/>
    <w:rsid w:val="00A55B93"/>
    <w:rsid w:val="00A60AA9"/>
    <w:rsid w:val="00A621E5"/>
    <w:rsid w:val="00A629B7"/>
    <w:rsid w:val="00A6534D"/>
    <w:rsid w:val="00A726FF"/>
    <w:rsid w:val="00A73C76"/>
    <w:rsid w:val="00A747D3"/>
    <w:rsid w:val="00A76FDE"/>
    <w:rsid w:val="00A8031A"/>
    <w:rsid w:val="00A82E52"/>
    <w:rsid w:val="00A94DED"/>
    <w:rsid w:val="00A96082"/>
    <w:rsid w:val="00A969CC"/>
    <w:rsid w:val="00AA13E0"/>
    <w:rsid w:val="00AA2BD4"/>
    <w:rsid w:val="00AA4BBE"/>
    <w:rsid w:val="00AA50D6"/>
    <w:rsid w:val="00AA6395"/>
    <w:rsid w:val="00AA6A11"/>
    <w:rsid w:val="00AA6FDE"/>
    <w:rsid w:val="00AB1212"/>
    <w:rsid w:val="00AB1FFC"/>
    <w:rsid w:val="00AB2086"/>
    <w:rsid w:val="00AB66A7"/>
    <w:rsid w:val="00AC0B67"/>
    <w:rsid w:val="00AC3BC0"/>
    <w:rsid w:val="00AC5F4A"/>
    <w:rsid w:val="00AE02A4"/>
    <w:rsid w:val="00AF1576"/>
    <w:rsid w:val="00B0307D"/>
    <w:rsid w:val="00B13BFF"/>
    <w:rsid w:val="00B165B7"/>
    <w:rsid w:val="00B1711A"/>
    <w:rsid w:val="00B1722D"/>
    <w:rsid w:val="00B21A6D"/>
    <w:rsid w:val="00B2207E"/>
    <w:rsid w:val="00B23E10"/>
    <w:rsid w:val="00B254A3"/>
    <w:rsid w:val="00B349DD"/>
    <w:rsid w:val="00B37EDE"/>
    <w:rsid w:val="00B40903"/>
    <w:rsid w:val="00B41F49"/>
    <w:rsid w:val="00B43E0B"/>
    <w:rsid w:val="00B47044"/>
    <w:rsid w:val="00B52095"/>
    <w:rsid w:val="00B52D33"/>
    <w:rsid w:val="00B559CE"/>
    <w:rsid w:val="00B5673A"/>
    <w:rsid w:val="00B57E2D"/>
    <w:rsid w:val="00B613E1"/>
    <w:rsid w:val="00B61CAE"/>
    <w:rsid w:val="00B6408F"/>
    <w:rsid w:val="00B66028"/>
    <w:rsid w:val="00B72FEB"/>
    <w:rsid w:val="00B807D6"/>
    <w:rsid w:val="00B851A6"/>
    <w:rsid w:val="00B90CBE"/>
    <w:rsid w:val="00B92070"/>
    <w:rsid w:val="00B9755C"/>
    <w:rsid w:val="00BA074A"/>
    <w:rsid w:val="00BB4C4B"/>
    <w:rsid w:val="00BB6F19"/>
    <w:rsid w:val="00BC2867"/>
    <w:rsid w:val="00BC4F18"/>
    <w:rsid w:val="00BD0586"/>
    <w:rsid w:val="00BD39C1"/>
    <w:rsid w:val="00BE2666"/>
    <w:rsid w:val="00BE2695"/>
    <w:rsid w:val="00BE3BCD"/>
    <w:rsid w:val="00BE6DB0"/>
    <w:rsid w:val="00BF0238"/>
    <w:rsid w:val="00BF3506"/>
    <w:rsid w:val="00BF3E33"/>
    <w:rsid w:val="00BF66CD"/>
    <w:rsid w:val="00BF743F"/>
    <w:rsid w:val="00C04821"/>
    <w:rsid w:val="00C1242E"/>
    <w:rsid w:val="00C15A4D"/>
    <w:rsid w:val="00C23988"/>
    <w:rsid w:val="00C24F55"/>
    <w:rsid w:val="00C25086"/>
    <w:rsid w:val="00C25318"/>
    <w:rsid w:val="00C258B2"/>
    <w:rsid w:val="00C3482D"/>
    <w:rsid w:val="00C351FA"/>
    <w:rsid w:val="00C35CC8"/>
    <w:rsid w:val="00C375DB"/>
    <w:rsid w:val="00C37745"/>
    <w:rsid w:val="00C41374"/>
    <w:rsid w:val="00C41799"/>
    <w:rsid w:val="00C427BF"/>
    <w:rsid w:val="00C428DC"/>
    <w:rsid w:val="00C42E59"/>
    <w:rsid w:val="00C43F45"/>
    <w:rsid w:val="00C44E19"/>
    <w:rsid w:val="00C4610E"/>
    <w:rsid w:val="00C538AA"/>
    <w:rsid w:val="00C54462"/>
    <w:rsid w:val="00C57622"/>
    <w:rsid w:val="00C57CE0"/>
    <w:rsid w:val="00C633C6"/>
    <w:rsid w:val="00C65AD3"/>
    <w:rsid w:val="00C665C2"/>
    <w:rsid w:val="00C73F56"/>
    <w:rsid w:val="00C80E70"/>
    <w:rsid w:val="00C813F8"/>
    <w:rsid w:val="00C92D7A"/>
    <w:rsid w:val="00C973BA"/>
    <w:rsid w:val="00C97FAE"/>
    <w:rsid w:val="00CA1D64"/>
    <w:rsid w:val="00CA303C"/>
    <w:rsid w:val="00CA50ED"/>
    <w:rsid w:val="00CA6FE9"/>
    <w:rsid w:val="00CB2AC3"/>
    <w:rsid w:val="00CB3B9E"/>
    <w:rsid w:val="00CB4025"/>
    <w:rsid w:val="00CB57A3"/>
    <w:rsid w:val="00CC1C76"/>
    <w:rsid w:val="00CC2F7A"/>
    <w:rsid w:val="00CC6353"/>
    <w:rsid w:val="00CD4629"/>
    <w:rsid w:val="00CD4EF7"/>
    <w:rsid w:val="00CD54D8"/>
    <w:rsid w:val="00CE4A02"/>
    <w:rsid w:val="00CF4F01"/>
    <w:rsid w:val="00CF7428"/>
    <w:rsid w:val="00D05EA3"/>
    <w:rsid w:val="00D06F6E"/>
    <w:rsid w:val="00D10C7C"/>
    <w:rsid w:val="00D149DE"/>
    <w:rsid w:val="00D14C37"/>
    <w:rsid w:val="00D20B1C"/>
    <w:rsid w:val="00D24275"/>
    <w:rsid w:val="00D24A9A"/>
    <w:rsid w:val="00D32CE8"/>
    <w:rsid w:val="00D36E84"/>
    <w:rsid w:val="00D432A3"/>
    <w:rsid w:val="00D439EE"/>
    <w:rsid w:val="00D43CA2"/>
    <w:rsid w:val="00D45FD3"/>
    <w:rsid w:val="00D468E2"/>
    <w:rsid w:val="00D50768"/>
    <w:rsid w:val="00D55A7C"/>
    <w:rsid w:val="00D55E38"/>
    <w:rsid w:val="00D566E1"/>
    <w:rsid w:val="00D606F9"/>
    <w:rsid w:val="00D60F89"/>
    <w:rsid w:val="00D676C5"/>
    <w:rsid w:val="00D7086C"/>
    <w:rsid w:val="00D77629"/>
    <w:rsid w:val="00D77BA6"/>
    <w:rsid w:val="00D81EB9"/>
    <w:rsid w:val="00D909E6"/>
    <w:rsid w:val="00D925CC"/>
    <w:rsid w:val="00D97565"/>
    <w:rsid w:val="00DA032B"/>
    <w:rsid w:val="00DA4BD8"/>
    <w:rsid w:val="00DA73EC"/>
    <w:rsid w:val="00DA7805"/>
    <w:rsid w:val="00DA7AFC"/>
    <w:rsid w:val="00DB2EF9"/>
    <w:rsid w:val="00DB7531"/>
    <w:rsid w:val="00DB7D15"/>
    <w:rsid w:val="00DC27FB"/>
    <w:rsid w:val="00DC3404"/>
    <w:rsid w:val="00DD4CBA"/>
    <w:rsid w:val="00DF2074"/>
    <w:rsid w:val="00DF438F"/>
    <w:rsid w:val="00DF627E"/>
    <w:rsid w:val="00E005EC"/>
    <w:rsid w:val="00E134C7"/>
    <w:rsid w:val="00E1427C"/>
    <w:rsid w:val="00E16DCC"/>
    <w:rsid w:val="00E1716B"/>
    <w:rsid w:val="00E1782E"/>
    <w:rsid w:val="00E248E9"/>
    <w:rsid w:val="00E25BBA"/>
    <w:rsid w:val="00E27057"/>
    <w:rsid w:val="00E33860"/>
    <w:rsid w:val="00E342EF"/>
    <w:rsid w:val="00E3431E"/>
    <w:rsid w:val="00E345F5"/>
    <w:rsid w:val="00E3674E"/>
    <w:rsid w:val="00E37868"/>
    <w:rsid w:val="00E463C6"/>
    <w:rsid w:val="00E479F5"/>
    <w:rsid w:val="00E50327"/>
    <w:rsid w:val="00E54644"/>
    <w:rsid w:val="00E60FD8"/>
    <w:rsid w:val="00E6606D"/>
    <w:rsid w:val="00E74880"/>
    <w:rsid w:val="00E800E8"/>
    <w:rsid w:val="00E81D37"/>
    <w:rsid w:val="00E87016"/>
    <w:rsid w:val="00E90F42"/>
    <w:rsid w:val="00E91E5E"/>
    <w:rsid w:val="00E92FE1"/>
    <w:rsid w:val="00EA0453"/>
    <w:rsid w:val="00EA238D"/>
    <w:rsid w:val="00EA2454"/>
    <w:rsid w:val="00EA4664"/>
    <w:rsid w:val="00EA4B7E"/>
    <w:rsid w:val="00EA714C"/>
    <w:rsid w:val="00EB0394"/>
    <w:rsid w:val="00EB489B"/>
    <w:rsid w:val="00EB7CB4"/>
    <w:rsid w:val="00EC61D9"/>
    <w:rsid w:val="00EC7ABB"/>
    <w:rsid w:val="00ED09CB"/>
    <w:rsid w:val="00ED141C"/>
    <w:rsid w:val="00ED1709"/>
    <w:rsid w:val="00ED2CDF"/>
    <w:rsid w:val="00ED3325"/>
    <w:rsid w:val="00ED3E3C"/>
    <w:rsid w:val="00ED42F2"/>
    <w:rsid w:val="00EE2A68"/>
    <w:rsid w:val="00EE65E1"/>
    <w:rsid w:val="00EE7104"/>
    <w:rsid w:val="00EF5FE9"/>
    <w:rsid w:val="00F100A5"/>
    <w:rsid w:val="00F24F34"/>
    <w:rsid w:val="00F277BA"/>
    <w:rsid w:val="00F322E0"/>
    <w:rsid w:val="00F3660E"/>
    <w:rsid w:val="00F40F3A"/>
    <w:rsid w:val="00F45149"/>
    <w:rsid w:val="00F4698D"/>
    <w:rsid w:val="00F60AFF"/>
    <w:rsid w:val="00F63E49"/>
    <w:rsid w:val="00F66316"/>
    <w:rsid w:val="00F7148A"/>
    <w:rsid w:val="00F75AED"/>
    <w:rsid w:val="00F76631"/>
    <w:rsid w:val="00F8242E"/>
    <w:rsid w:val="00F839CE"/>
    <w:rsid w:val="00F84B39"/>
    <w:rsid w:val="00F90ACD"/>
    <w:rsid w:val="00F9197A"/>
    <w:rsid w:val="00F94252"/>
    <w:rsid w:val="00F94739"/>
    <w:rsid w:val="00FA0E4D"/>
    <w:rsid w:val="00FA2542"/>
    <w:rsid w:val="00FB3167"/>
    <w:rsid w:val="00FC43E7"/>
    <w:rsid w:val="00FC4D33"/>
    <w:rsid w:val="00FC511E"/>
    <w:rsid w:val="00FE1506"/>
    <w:rsid w:val="00FE2D0A"/>
    <w:rsid w:val="00FE7F89"/>
    <w:rsid w:val="00FF1CA1"/>
    <w:rsid w:val="00FF383B"/>
    <w:rsid w:val="03813567"/>
    <w:rsid w:val="0F8B6335"/>
    <w:rsid w:val="16C54A21"/>
    <w:rsid w:val="50C572B1"/>
    <w:rsid w:val="66092039"/>
    <w:rsid w:val="6F1951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7"/>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8"/>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49"/>
    <w:unhideWhenUsed/>
    <w:qFormat/>
    <w:uiPriority w:val="9"/>
    <w:pPr>
      <w:keepNext/>
      <w:keepLines/>
      <w:spacing w:before="280" w:after="290" w:line="376" w:lineRule="auto"/>
      <w:outlineLvl w:val="4"/>
    </w:pPr>
    <w:rPr>
      <w:b/>
      <w:bCs/>
      <w:sz w:val="28"/>
      <w:szCs w:val="28"/>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7">
    <w:name w:val="annotation text"/>
    <w:basedOn w:val="1"/>
    <w:semiHidden/>
    <w:unhideWhenUsed/>
    <w:qFormat/>
    <w:uiPriority w:val="99"/>
    <w:pPr>
      <w:jc w:val="left"/>
    </w:pPr>
  </w:style>
  <w:style w:type="paragraph" w:styleId="8">
    <w:name w:val="toc 3"/>
    <w:basedOn w:val="1"/>
    <w:next w:val="1"/>
    <w:unhideWhenUsed/>
    <w:qFormat/>
    <w:uiPriority w:val="39"/>
    <w:pPr>
      <w:widowControl/>
      <w:spacing w:after="100"/>
      <w:ind w:left="442"/>
      <w:jc w:val="left"/>
    </w:pPr>
    <w:rPr>
      <w:kern w:val="0"/>
      <w:sz w:val="22"/>
    </w:rPr>
  </w:style>
  <w:style w:type="paragraph" w:styleId="9">
    <w:name w:val="Date"/>
    <w:basedOn w:val="1"/>
    <w:next w:val="1"/>
    <w:link w:val="30"/>
    <w:semiHidden/>
    <w:unhideWhenUsed/>
    <w:qFormat/>
    <w:uiPriority w:val="99"/>
    <w:pPr>
      <w:ind w:left="100" w:leftChars="2500"/>
    </w:pPr>
  </w:style>
  <w:style w:type="paragraph" w:styleId="10">
    <w:name w:val="Balloon Text"/>
    <w:basedOn w:val="1"/>
    <w:link w:val="29"/>
    <w:semiHidden/>
    <w:unhideWhenUsed/>
    <w:qFormat/>
    <w:uiPriority w:val="99"/>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widowControl/>
      <w:spacing w:after="100"/>
      <w:jc w:val="left"/>
    </w:pPr>
    <w:rPr>
      <w:kern w:val="0"/>
      <w:sz w:val="24"/>
    </w:rPr>
  </w:style>
  <w:style w:type="paragraph" w:styleId="14">
    <w:name w:val="toc 4"/>
    <w:basedOn w:val="1"/>
    <w:next w:val="1"/>
    <w:unhideWhenUsed/>
    <w:qFormat/>
    <w:uiPriority w:val="39"/>
    <w:pPr>
      <w:ind w:left="1260" w:leftChars="600"/>
    </w:pPr>
  </w:style>
  <w:style w:type="paragraph" w:styleId="15">
    <w:name w:val="toc 2"/>
    <w:basedOn w:val="1"/>
    <w:next w:val="1"/>
    <w:unhideWhenUsed/>
    <w:qFormat/>
    <w:uiPriority w:val="39"/>
    <w:pPr>
      <w:widowControl/>
      <w:tabs>
        <w:tab w:val="right" w:leader="dot" w:pos="8302"/>
      </w:tabs>
      <w:spacing w:after="100"/>
      <w:ind w:left="221"/>
      <w:jc w:val="left"/>
    </w:pPr>
    <w:rPr>
      <w:kern w:val="0"/>
      <w:sz w:val="22"/>
    </w:rPr>
  </w:style>
  <w:style w:type="paragraph" w:styleId="16">
    <w:name w:val="Normal (Web)"/>
    <w:basedOn w:val="1"/>
    <w:qFormat/>
    <w:uiPriority w:val="0"/>
    <w:pPr>
      <w:spacing w:beforeAutospacing="1" w:afterAutospacing="1"/>
      <w:jc w:val="left"/>
    </w:pPr>
    <w:rPr>
      <w:rFonts w:cs="Times New Roman"/>
      <w:kern w:val="0"/>
      <w:sz w:val="24"/>
    </w:rPr>
  </w:style>
  <w:style w:type="character" w:styleId="19">
    <w:name w:val="FollowedHyperlink"/>
    <w:basedOn w:val="18"/>
    <w:semiHidden/>
    <w:unhideWhenUsed/>
    <w:qFormat/>
    <w:uiPriority w:val="99"/>
    <w:rPr>
      <w:color w:val="800080"/>
      <w:u w:val="single"/>
    </w:rPr>
  </w:style>
  <w:style w:type="character" w:styleId="20">
    <w:name w:val="Hyperlink"/>
    <w:basedOn w:val="18"/>
    <w:unhideWhenUsed/>
    <w:qFormat/>
    <w:uiPriority w:val="99"/>
    <w:rPr>
      <w:color w:val="0000FF" w:themeColor="hyperlink"/>
      <w:u w:val="single"/>
    </w:rPr>
  </w:style>
  <w:style w:type="character" w:styleId="21">
    <w:name w:val="annotation reference"/>
    <w:basedOn w:val="18"/>
    <w:semiHidden/>
    <w:unhideWhenUsed/>
    <w:qFormat/>
    <w:uiPriority w:val="99"/>
    <w:rPr>
      <w:sz w:val="21"/>
      <w:szCs w:val="21"/>
    </w:rPr>
  </w:style>
  <w:style w:type="character" w:customStyle="1" w:styleId="22">
    <w:name w:val="页眉 Char"/>
    <w:basedOn w:val="18"/>
    <w:link w:val="12"/>
    <w:qFormat/>
    <w:uiPriority w:val="99"/>
    <w:rPr>
      <w:sz w:val="18"/>
      <w:szCs w:val="18"/>
    </w:rPr>
  </w:style>
  <w:style w:type="character" w:customStyle="1" w:styleId="23">
    <w:name w:val="页脚 Char"/>
    <w:basedOn w:val="18"/>
    <w:link w:val="11"/>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1 Char"/>
    <w:basedOn w:val="18"/>
    <w:link w:val="2"/>
    <w:qFormat/>
    <w:uiPriority w:val="9"/>
    <w:rPr>
      <w:b/>
      <w:bCs/>
      <w:kern w:val="44"/>
      <w:sz w:val="44"/>
      <w:szCs w:val="44"/>
    </w:rPr>
  </w:style>
  <w:style w:type="character" w:customStyle="1" w:styleId="26">
    <w:name w:val="标题 2 Char"/>
    <w:basedOn w:val="18"/>
    <w:link w:val="3"/>
    <w:qFormat/>
    <w:uiPriority w:val="9"/>
    <w:rPr>
      <w:rFonts w:asciiTheme="majorHAnsi" w:hAnsiTheme="majorHAnsi" w:eastAsiaTheme="majorEastAsia" w:cstheme="majorBidi"/>
      <w:b/>
      <w:bCs/>
      <w:sz w:val="32"/>
      <w:szCs w:val="32"/>
    </w:rPr>
  </w:style>
  <w:style w:type="character" w:customStyle="1" w:styleId="27">
    <w:name w:val="标题 3 Char"/>
    <w:basedOn w:val="18"/>
    <w:link w:val="4"/>
    <w:qFormat/>
    <w:uiPriority w:val="9"/>
    <w:rPr>
      <w:b/>
      <w:bCs/>
      <w:sz w:val="32"/>
      <w:szCs w:val="32"/>
    </w:rPr>
  </w:style>
  <w:style w:type="paragraph" w:customStyle="1" w:styleId="2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9">
    <w:name w:val="批注框文本 Char"/>
    <w:basedOn w:val="18"/>
    <w:link w:val="10"/>
    <w:semiHidden/>
    <w:qFormat/>
    <w:uiPriority w:val="99"/>
    <w:rPr>
      <w:sz w:val="18"/>
      <w:szCs w:val="18"/>
    </w:rPr>
  </w:style>
  <w:style w:type="character" w:customStyle="1" w:styleId="30">
    <w:name w:val="日期 Char"/>
    <w:basedOn w:val="18"/>
    <w:link w:val="9"/>
    <w:semiHidden/>
    <w:qFormat/>
    <w:uiPriority w:val="99"/>
  </w:style>
  <w:style w:type="paragraph" w:customStyle="1" w:styleId="31">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2">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eastAsia="宋体" w:cs="宋体"/>
      <w:kern w:val="0"/>
      <w:sz w:val="24"/>
      <w:szCs w:val="24"/>
    </w:rPr>
  </w:style>
  <w:style w:type="paragraph" w:customStyle="1" w:styleId="33">
    <w:name w:val="xl69"/>
    <w:basedOn w:val="1"/>
    <w:uiPriority w:val="0"/>
    <w:pPr>
      <w:widowControl/>
      <w:shd w:val="clear" w:color="000000" w:fill="FFFFFF"/>
      <w:spacing w:before="100" w:beforeAutospacing="1" w:after="100" w:afterAutospacing="1"/>
      <w:jc w:val="left"/>
      <w:textAlignment w:val="bottom"/>
    </w:pPr>
    <w:rPr>
      <w:rFonts w:ascii="Arial" w:hAnsi="Arial" w:eastAsia="宋体" w:cs="Arial"/>
      <w:kern w:val="0"/>
      <w:sz w:val="20"/>
      <w:szCs w:val="20"/>
    </w:rPr>
  </w:style>
  <w:style w:type="paragraph" w:customStyle="1" w:styleId="34">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35">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eastAsia="宋体" w:cs="Arial"/>
      <w:kern w:val="0"/>
      <w:sz w:val="20"/>
      <w:szCs w:val="20"/>
    </w:rPr>
  </w:style>
  <w:style w:type="paragraph" w:customStyle="1" w:styleId="36">
    <w:name w:val="xl72"/>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textAlignment w:val="bottom"/>
    </w:pPr>
    <w:rPr>
      <w:rFonts w:ascii="Arial" w:hAnsi="Arial" w:eastAsia="宋体" w:cs="Arial"/>
      <w:kern w:val="0"/>
      <w:sz w:val="20"/>
      <w:szCs w:val="20"/>
    </w:rPr>
  </w:style>
  <w:style w:type="paragraph" w:customStyle="1" w:styleId="37">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szCs w:val="24"/>
    </w:rPr>
  </w:style>
  <w:style w:type="paragraph" w:customStyle="1" w:styleId="38">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4"/>
      <w:szCs w:val="24"/>
    </w:rPr>
  </w:style>
  <w:style w:type="paragraph" w:customStyle="1" w:styleId="39">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eastAsia="宋体" w:cs="Arial"/>
      <w:b/>
      <w:bCs/>
      <w:kern w:val="0"/>
      <w:sz w:val="20"/>
      <w:szCs w:val="20"/>
    </w:rPr>
  </w:style>
  <w:style w:type="paragraph" w:customStyle="1" w:styleId="40">
    <w:name w:val="xl76"/>
    <w:basedOn w:val="1"/>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textAlignment w:val="bottom"/>
    </w:pPr>
    <w:rPr>
      <w:rFonts w:ascii="Arial" w:hAnsi="Arial" w:eastAsia="宋体" w:cs="Arial"/>
      <w:b/>
      <w:bCs/>
      <w:kern w:val="0"/>
      <w:sz w:val="20"/>
      <w:szCs w:val="20"/>
    </w:rPr>
  </w:style>
  <w:style w:type="paragraph" w:customStyle="1" w:styleId="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eastAsia="宋体" w:cs="宋体"/>
      <w:kern w:val="0"/>
      <w:sz w:val="24"/>
      <w:szCs w:val="24"/>
    </w:rPr>
  </w:style>
  <w:style w:type="paragraph" w:customStyle="1" w:styleId="42">
    <w:name w:val="xl78"/>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textAlignment w:val="bottom"/>
    </w:pPr>
    <w:rPr>
      <w:rFonts w:ascii="Arial" w:hAnsi="Arial" w:eastAsia="宋体" w:cs="Arial"/>
      <w:kern w:val="0"/>
      <w:sz w:val="20"/>
      <w:szCs w:val="20"/>
    </w:rPr>
  </w:style>
  <w:style w:type="paragraph" w:customStyle="1" w:styleId="43">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44">
    <w:name w:val="xl8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45">
    <w:name w:val="xl8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46">
    <w:name w:val="xl82"/>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bottom"/>
    </w:pPr>
    <w:rPr>
      <w:rFonts w:ascii="宋体" w:hAnsi="宋体" w:eastAsia="宋体" w:cs="宋体"/>
      <w:kern w:val="0"/>
      <w:sz w:val="24"/>
      <w:szCs w:val="24"/>
    </w:rPr>
  </w:style>
  <w:style w:type="paragraph" w:customStyle="1" w:styleId="4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character" w:customStyle="1" w:styleId="48">
    <w:name w:val="标题 4 Char"/>
    <w:basedOn w:val="18"/>
    <w:link w:val="5"/>
    <w:qFormat/>
    <w:uiPriority w:val="9"/>
    <w:rPr>
      <w:rFonts w:asciiTheme="majorHAnsi" w:hAnsiTheme="majorHAnsi" w:eastAsiaTheme="majorEastAsia" w:cstheme="majorBidi"/>
      <w:b/>
      <w:bCs/>
      <w:sz w:val="28"/>
      <w:szCs w:val="28"/>
    </w:rPr>
  </w:style>
  <w:style w:type="character" w:customStyle="1" w:styleId="49">
    <w:name w:val="标题 5 Char"/>
    <w:basedOn w:val="18"/>
    <w:link w:val="6"/>
    <w:qFormat/>
    <w:uiPriority w:val="9"/>
    <w:rPr>
      <w:b/>
      <w:bCs/>
      <w:sz w:val="28"/>
      <w:szCs w:val="28"/>
    </w:rPr>
  </w:style>
  <w:style w:type="character" w:customStyle="1" w:styleId="50">
    <w:name w:val="font11"/>
    <w:basedOn w:val="18"/>
    <w:qFormat/>
    <w:uiPriority w:val="0"/>
    <w:rPr>
      <w:rFonts w:ascii="瀹嬩綋" w:hAnsi="瀹嬩綋" w:eastAsia="瀹嬩綋" w:cs="瀹嬩綋"/>
      <w:color w:val="000000"/>
      <w:sz w:val="19"/>
      <w:szCs w:val="19"/>
      <w:u w:val="none"/>
    </w:rPr>
  </w:style>
  <w:style w:type="character" w:customStyle="1" w:styleId="51">
    <w:name w:val="font41"/>
    <w:basedOn w:val="18"/>
    <w:qFormat/>
    <w:uiPriority w:val="0"/>
    <w:rPr>
      <w:rFonts w:hint="default" w:ascii="仿宋_GB2312" w:eastAsia="仿宋_GB2312" w:cs="仿宋_GB2312"/>
      <w:color w:val="000000"/>
      <w:sz w:val="19"/>
      <w:szCs w:val="19"/>
      <w:u w:val="none"/>
    </w:rPr>
  </w:style>
  <w:style w:type="character" w:customStyle="1" w:styleId="52">
    <w:name w:val="font51"/>
    <w:basedOn w:val="18"/>
    <w:uiPriority w:val="0"/>
    <w:rPr>
      <w:rFonts w:hint="default" w:ascii="Calibri" w:hAnsi="Calibri" w:cs="Calibri"/>
      <w:color w:val="000000"/>
      <w:sz w:val="20"/>
      <w:szCs w:val="20"/>
      <w:u w:val="none"/>
    </w:rPr>
  </w:style>
  <w:style w:type="character" w:customStyle="1" w:styleId="53">
    <w:name w:val="font71"/>
    <w:basedOn w:val="18"/>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513732-BE0F-4BF5-9F1D-5E0B065B10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22</Pages>
  <Words>9836</Words>
  <Characters>10628</Characters>
  <Lines>104</Lines>
  <Paragraphs>29</Paragraphs>
  <TotalTime>10</TotalTime>
  <ScaleCrop>false</ScaleCrop>
  <LinksUpToDate>false</LinksUpToDate>
  <CharactersWithSpaces>10843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2014-06-12T00:42:00Z</dcterms:created>
  <dc:creator>Microsoft</dc:creator>
  <cp:lastModifiedBy>麦子没熟</cp:lastModifiedBy>
  <cp:lastPrinted>2019-03-06T09:51:00Z</cp:lastPrinted>
  <dcterms:modified xsi:type="dcterms:W3CDTF">2025-09-19T07:56:27Z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eyJoZGlkIjoiNDc5OWNlMzUwNWYxYTVmYWM3ZmM5MWFhNTU3ZWY3N2UiLCJ1c2VySWQiOiI5MzA0MTI4ODYifQ==</vt:lpwstr>
  </property>
  <property fmtid="{D5CDD505-2E9C-101B-9397-08002B2CF9AE}" pid="4" name="ICV">
    <vt:lpwstr>6BFB4A3225A546A2A4A059AC3D8D6EFF_12</vt:lpwstr>
  </property>
</Properties>
</file>