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4E6B48">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647E5B75">
      <w:pPr>
        <w:widowControl/>
        <w:tabs>
          <w:tab w:val="center" w:pos="3835"/>
          <w:tab w:val="left" w:pos="6720"/>
        </w:tabs>
        <w:spacing w:before="100" w:beforeAutospacing="1" w:after="100" w:afterAutospacing="1" w:line="360" w:lineRule="auto"/>
        <w:ind w:right="641" w:firstLine="560" w:firstLineChars="200"/>
        <w:jc w:val="left"/>
        <w:rPr>
          <w:rFonts w:ascii="宋体" w:hAnsi="宋体" w:eastAsia="宋体" w:cs="宋体"/>
          <w:kern w:val="0"/>
          <w:sz w:val="28"/>
          <w:szCs w:val="28"/>
        </w:rPr>
      </w:pPr>
    </w:p>
    <w:p w14:paraId="19F0F32B">
      <w:pPr>
        <w:widowControl/>
        <w:autoSpaceDE w:val="0"/>
        <w:autoSpaceDN w:val="0"/>
        <w:spacing w:before="40" w:after="312" w:afterLines="100" w:line="360" w:lineRule="auto"/>
        <w:ind w:firstLine="600" w:firstLineChars="200"/>
        <w:jc w:val="center"/>
        <w:textAlignment w:val="bottom"/>
        <w:rPr>
          <w:rFonts w:ascii="宋体" w:hAnsi="宋体" w:eastAsia="宋体" w:cs="宋体"/>
          <w:b/>
          <w:kern w:val="0"/>
          <w:sz w:val="30"/>
          <w:szCs w:val="30"/>
        </w:rPr>
      </w:pPr>
      <w:r>
        <w:rPr>
          <w:rFonts w:hint="eastAsia" w:ascii="宋体" w:hAnsi="宋体" w:eastAsia="宋体" w:cs="宋体"/>
          <w:b/>
          <w:kern w:val="0"/>
          <w:sz w:val="30"/>
          <w:szCs w:val="30"/>
        </w:rPr>
        <w:t>中共长沙市委政策研究室</w:t>
      </w:r>
    </w:p>
    <w:p w14:paraId="5EF9B8AD">
      <w:pPr>
        <w:widowControl/>
        <w:autoSpaceDE w:val="0"/>
        <w:autoSpaceDN w:val="0"/>
        <w:spacing w:before="40" w:after="312" w:afterLines="100" w:line="360" w:lineRule="auto"/>
        <w:ind w:firstLine="600" w:firstLineChars="200"/>
        <w:jc w:val="center"/>
        <w:textAlignment w:val="bottom"/>
        <w:rPr>
          <w:rFonts w:ascii="宋体" w:hAnsi="宋体" w:eastAsia="宋体" w:cs="宋体"/>
          <w:b/>
          <w:kern w:val="0"/>
          <w:sz w:val="30"/>
          <w:szCs w:val="30"/>
        </w:rPr>
      </w:pPr>
      <w:r>
        <w:rPr>
          <w:rFonts w:hint="eastAsia" w:ascii="宋体" w:hAnsi="宋体" w:eastAsia="宋体" w:cs="宋体"/>
          <w:b/>
          <w:kern w:val="0"/>
          <w:sz w:val="30"/>
          <w:szCs w:val="30"/>
        </w:rPr>
        <w:t>2019年度部门整体支出绩效自评报告</w:t>
      </w:r>
    </w:p>
    <w:p w14:paraId="4846BE21">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2533507A">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2FF1B651">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597D68AE">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74A20371">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7FBBC4FD">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276E0B52">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6D4D5943">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3EC71C65">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20BE71DF">
      <w:pPr>
        <w:widowControl/>
        <w:spacing w:before="100" w:beforeAutospacing="1" w:after="100" w:afterAutospacing="1" w:line="360" w:lineRule="auto"/>
        <w:ind w:right="641" w:firstLine="560" w:firstLineChars="200"/>
        <w:jc w:val="center"/>
        <w:rPr>
          <w:rFonts w:ascii="宋体" w:hAnsi="宋体" w:eastAsia="宋体" w:cs="宋体"/>
          <w:b/>
          <w:kern w:val="0"/>
          <w:sz w:val="28"/>
          <w:szCs w:val="28"/>
        </w:rPr>
      </w:pPr>
      <w:r>
        <w:rPr>
          <w:rFonts w:hint="eastAsia" w:ascii="宋体" w:hAnsi="宋体" w:eastAsia="宋体" w:cs="宋体"/>
          <w:b/>
          <w:kern w:val="0"/>
          <w:sz w:val="28"/>
          <w:szCs w:val="28"/>
        </w:rPr>
        <w:t>2020年3月15日</w:t>
      </w:r>
    </w:p>
    <w:p w14:paraId="40B0CF34">
      <w:pPr>
        <w:widowControl/>
        <w:jc w:val="left"/>
        <w:rPr>
          <w:rFonts w:ascii="宋体" w:hAnsi="宋体" w:eastAsia="宋体" w:cs="宋体"/>
          <w:b/>
          <w:kern w:val="0"/>
          <w:sz w:val="32"/>
          <w:szCs w:val="32"/>
        </w:rPr>
      </w:pPr>
    </w:p>
    <w:p w14:paraId="3BF01213">
      <w:pPr>
        <w:widowControl/>
        <w:spacing w:before="100" w:beforeAutospacing="1" w:after="100" w:afterAutospacing="1" w:line="360" w:lineRule="auto"/>
        <w:ind w:right="641" w:firstLine="640" w:firstLineChars="200"/>
        <w:jc w:val="center"/>
        <w:rPr>
          <w:rFonts w:ascii="宋体" w:hAnsi="宋体" w:eastAsia="宋体" w:cs="宋体"/>
          <w:b/>
          <w:kern w:val="0"/>
          <w:sz w:val="32"/>
          <w:szCs w:val="32"/>
        </w:rPr>
      </w:pPr>
      <w:r>
        <w:rPr>
          <w:rFonts w:hint="eastAsia" w:ascii="宋体" w:hAnsi="宋体" w:eastAsia="宋体" w:cs="宋体"/>
          <w:b/>
          <w:kern w:val="0"/>
          <w:sz w:val="32"/>
          <w:szCs w:val="32"/>
        </w:rPr>
        <w:t>目录</w:t>
      </w:r>
    </w:p>
    <w:p w14:paraId="46166898">
      <w:pPr>
        <w:pStyle w:val="13"/>
        <w:tabs>
          <w:tab w:val="right" w:leader="dot" w:pos="8302"/>
        </w:tabs>
        <w:rPr>
          <w:kern w:val="2"/>
          <w:sz w:val="21"/>
        </w:rPr>
      </w:pPr>
      <w:r>
        <w:rPr>
          <w:rFonts w:ascii="宋体" w:hAnsi="宋体" w:eastAsia="宋体" w:cs="宋体"/>
          <w:sz w:val="28"/>
          <w:szCs w:val="28"/>
        </w:rPr>
        <w:fldChar w:fldCharType="begin"/>
      </w:r>
      <w:r>
        <w:rPr>
          <w:rFonts w:ascii="宋体" w:hAnsi="宋体" w:eastAsia="宋体" w:cs="宋体"/>
          <w:sz w:val="28"/>
          <w:szCs w:val="28"/>
        </w:rPr>
        <w:instrText xml:space="preserve"> TOC \o "1-4" \h \z \u </w:instrText>
      </w:r>
      <w:r>
        <w:rPr>
          <w:rFonts w:ascii="宋体" w:hAnsi="宋体" w:eastAsia="宋体" w:cs="宋体"/>
          <w:sz w:val="28"/>
          <w:szCs w:val="28"/>
        </w:rPr>
        <w:fldChar w:fldCharType="separate"/>
      </w:r>
      <w:r>
        <w:fldChar w:fldCharType="begin"/>
      </w:r>
      <w:r>
        <w:instrText xml:space="preserve"> HYPERLINK \l "_Toc35186493" </w:instrText>
      </w:r>
      <w:r>
        <w:fldChar w:fldCharType="separate"/>
      </w:r>
      <w:r>
        <w:rPr>
          <w:rStyle w:val="20"/>
          <w:rFonts w:hint="eastAsia" w:ascii="宋体" w:hAnsi="宋体" w:eastAsia="宋体"/>
        </w:rPr>
        <w:t>一、部门概况</w:t>
      </w:r>
      <w:r>
        <w:tab/>
      </w:r>
      <w:r>
        <w:fldChar w:fldCharType="begin"/>
      </w:r>
      <w:r>
        <w:instrText xml:space="preserve"> PAGEREF _Toc35186493 \h </w:instrText>
      </w:r>
      <w:r>
        <w:fldChar w:fldCharType="separate"/>
      </w:r>
      <w:r>
        <w:t>1</w:t>
      </w:r>
      <w:r>
        <w:fldChar w:fldCharType="end"/>
      </w:r>
      <w:r>
        <w:fldChar w:fldCharType="end"/>
      </w:r>
    </w:p>
    <w:p w14:paraId="166B2EFA">
      <w:pPr>
        <w:pStyle w:val="15"/>
        <w:rPr>
          <w:kern w:val="2"/>
          <w:sz w:val="21"/>
        </w:rPr>
      </w:pPr>
      <w:r>
        <w:fldChar w:fldCharType="begin"/>
      </w:r>
      <w:r>
        <w:instrText xml:space="preserve"> HYPERLINK \l "_Toc35186494" </w:instrText>
      </w:r>
      <w:r>
        <w:fldChar w:fldCharType="separate"/>
      </w:r>
      <w:r>
        <w:rPr>
          <w:rStyle w:val="20"/>
          <w:rFonts w:hint="eastAsia" w:ascii="宋体" w:hAnsi="宋体" w:eastAsia="宋体"/>
        </w:rPr>
        <w:t>（一）部门基本情况</w:t>
      </w:r>
      <w:r>
        <w:tab/>
      </w:r>
      <w:r>
        <w:fldChar w:fldCharType="begin"/>
      </w:r>
      <w:r>
        <w:instrText xml:space="preserve"> PAGEREF _Toc35186494 \h </w:instrText>
      </w:r>
      <w:r>
        <w:fldChar w:fldCharType="separate"/>
      </w:r>
      <w:r>
        <w:t>1</w:t>
      </w:r>
      <w:r>
        <w:fldChar w:fldCharType="end"/>
      </w:r>
      <w:r>
        <w:fldChar w:fldCharType="end"/>
      </w:r>
    </w:p>
    <w:p w14:paraId="6C305138">
      <w:pPr>
        <w:pStyle w:val="8"/>
        <w:tabs>
          <w:tab w:val="right" w:leader="dot" w:pos="8302"/>
        </w:tabs>
        <w:rPr>
          <w:kern w:val="2"/>
          <w:sz w:val="21"/>
        </w:rPr>
      </w:pPr>
      <w:r>
        <w:fldChar w:fldCharType="begin"/>
      </w:r>
      <w:r>
        <w:instrText xml:space="preserve"> HYPERLINK \l "_Toc35186495" </w:instrText>
      </w:r>
      <w:r>
        <w:fldChar w:fldCharType="separate"/>
      </w:r>
      <w:r>
        <w:rPr>
          <w:rStyle w:val="20"/>
          <w:rFonts w:hint="eastAsia" w:ascii="宋体" w:hAnsi="宋体" w:eastAsia="宋体"/>
        </w:rPr>
        <w:t>（</w:t>
      </w:r>
      <w:r>
        <w:rPr>
          <w:rStyle w:val="20"/>
          <w:rFonts w:ascii="宋体" w:hAnsi="宋体" w:eastAsia="宋体"/>
        </w:rPr>
        <w:t>1</w:t>
      </w:r>
      <w:r>
        <w:rPr>
          <w:rStyle w:val="20"/>
          <w:rFonts w:hint="eastAsia" w:ascii="宋体" w:hAnsi="宋体" w:eastAsia="宋体"/>
        </w:rPr>
        <w:t>）在职人员情况及机构设置情况</w:t>
      </w:r>
      <w:r>
        <w:tab/>
      </w:r>
      <w:r>
        <w:fldChar w:fldCharType="begin"/>
      </w:r>
      <w:r>
        <w:instrText xml:space="preserve"> PAGEREF _Toc35186495 \h </w:instrText>
      </w:r>
      <w:r>
        <w:fldChar w:fldCharType="separate"/>
      </w:r>
      <w:r>
        <w:t>1</w:t>
      </w:r>
      <w:r>
        <w:fldChar w:fldCharType="end"/>
      </w:r>
      <w:r>
        <w:fldChar w:fldCharType="end"/>
      </w:r>
    </w:p>
    <w:p w14:paraId="6E78663A">
      <w:pPr>
        <w:pStyle w:val="8"/>
        <w:tabs>
          <w:tab w:val="right" w:leader="dot" w:pos="8302"/>
        </w:tabs>
        <w:rPr>
          <w:kern w:val="2"/>
          <w:sz w:val="21"/>
        </w:rPr>
      </w:pPr>
      <w:r>
        <w:fldChar w:fldCharType="begin"/>
      </w:r>
      <w:r>
        <w:instrText xml:space="preserve"> HYPERLINK \l "_Toc35186496" </w:instrText>
      </w:r>
      <w:r>
        <w:fldChar w:fldCharType="separate"/>
      </w:r>
      <w:r>
        <w:rPr>
          <w:rStyle w:val="20"/>
          <w:rFonts w:hint="eastAsia" w:ascii="宋体" w:hAnsi="宋体" w:eastAsia="宋体"/>
        </w:rPr>
        <w:t>（</w:t>
      </w:r>
      <w:r>
        <w:rPr>
          <w:rStyle w:val="20"/>
          <w:rFonts w:ascii="宋体" w:hAnsi="宋体" w:eastAsia="宋体"/>
        </w:rPr>
        <w:t>2</w:t>
      </w:r>
      <w:r>
        <w:rPr>
          <w:rStyle w:val="20"/>
          <w:rFonts w:hint="eastAsia" w:ascii="宋体" w:hAnsi="宋体" w:eastAsia="宋体"/>
        </w:rPr>
        <w:t>）主要工作职责</w:t>
      </w:r>
      <w:r>
        <w:tab/>
      </w:r>
      <w:r>
        <w:fldChar w:fldCharType="begin"/>
      </w:r>
      <w:r>
        <w:instrText xml:space="preserve"> PAGEREF _Toc35186496 \h </w:instrText>
      </w:r>
      <w:r>
        <w:fldChar w:fldCharType="separate"/>
      </w:r>
      <w:r>
        <w:t>1</w:t>
      </w:r>
      <w:r>
        <w:fldChar w:fldCharType="end"/>
      </w:r>
      <w:r>
        <w:fldChar w:fldCharType="end"/>
      </w:r>
    </w:p>
    <w:p w14:paraId="3087286B">
      <w:pPr>
        <w:pStyle w:val="15"/>
        <w:rPr>
          <w:kern w:val="2"/>
          <w:sz w:val="21"/>
        </w:rPr>
      </w:pPr>
      <w:r>
        <w:fldChar w:fldCharType="begin"/>
      </w:r>
      <w:r>
        <w:instrText xml:space="preserve"> HYPERLINK \l "_Toc35186497" </w:instrText>
      </w:r>
      <w:r>
        <w:fldChar w:fldCharType="separate"/>
      </w:r>
      <w:r>
        <w:rPr>
          <w:rStyle w:val="20"/>
          <w:rFonts w:hint="eastAsia" w:ascii="宋体" w:hAnsi="宋体" w:eastAsia="宋体"/>
        </w:rPr>
        <w:t>（二）部门整体支出规模</w:t>
      </w:r>
      <w:r>
        <w:tab/>
      </w:r>
      <w:r>
        <w:fldChar w:fldCharType="begin"/>
      </w:r>
      <w:r>
        <w:instrText xml:space="preserve"> PAGEREF _Toc35186497 \h </w:instrText>
      </w:r>
      <w:r>
        <w:fldChar w:fldCharType="separate"/>
      </w:r>
      <w:r>
        <w:t>2</w:t>
      </w:r>
      <w:r>
        <w:fldChar w:fldCharType="end"/>
      </w:r>
      <w:r>
        <w:fldChar w:fldCharType="end"/>
      </w:r>
    </w:p>
    <w:p w14:paraId="6CD720DD">
      <w:pPr>
        <w:pStyle w:val="13"/>
        <w:tabs>
          <w:tab w:val="right" w:leader="dot" w:pos="8302"/>
        </w:tabs>
        <w:rPr>
          <w:kern w:val="2"/>
          <w:sz w:val="21"/>
        </w:rPr>
      </w:pPr>
      <w:r>
        <w:fldChar w:fldCharType="begin"/>
      </w:r>
      <w:r>
        <w:instrText xml:space="preserve"> HYPERLINK \l "_Toc35186498" </w:instrText>
      </w:r>
      <w:r>
        <w:fldChar w:fldCharType="separate"/>
      </w:r>
      <w:r>
        <w:rPr>
          <w:rStyle w:val="20"/>
          <w:rFonts w:hint="eastAsia" w:ascii="宋体" w:hAnsi="宋体" w:eastAsia="宋体"/>
        </w:rPr>
        <w:t>二、部门整体支出管理及使用情况</w:t>
      </w:r>
      <w:r>
        <w:tab/>
      </w:r>
      <w:r>
        <w:fldChar w:fldCharType="begin"/>
      </w:r>
      <w:r>
        <w:instrText xml:space="preserve"> PAGEREF _Toc35186498 \h </w:instrText>
      </w:r>
      <w:r>
        <w:fldChar w:fldCharType="separate"/>
      </w:r>
      <w:r>
        <w:t>3</w:t>
      </w:r>
      <w:r>
        <w:fldChar w:fldCharType="end"/>
      </w:r>
      <w:r>
        <w:fldChar w:fldCharType="end"/>
      </w:r>
    </w:p>
    <w:p w14:paraId="56B4D33B">
      <w:pPr>
        <w:pStyle w:val="15"/>
        <w:rPr>
          <w:kern w:val="2"/>
          <w:sz w:val="21"/>
        </w:rPr>
      </w:pPr>
      <w:r>
        <w:fldChar w:fldCharType="begin"/>
      </w:r>
      <w:r>
        <w:instrText xml:space="preserve"> HYPERLINK \l "_Toc35186499" </w:instrText>
      </w:r>
      <w:r>
        <w:fldChar w:fldCharType="separate"/>
      </w:r>
      <w:r>
        <w:rPr>
          <w:rStyle w:val="20"/>
          <w:rFonts w:hint="eastAsia" w:ascii="宋体" w:hAnsi="宋体" w:eastAsia="宋体"/>
        </w:rPr>
        <w:t>（一）基本支出</w:t>
      </w:r>
      <w:r>
        <w:tab/>
      </w:r>
      <w:r>
        <w:fldChar w:fldCharType="begin"/>
      </w:r>
      <w:r>
        <w:instrText xml:space="preserve"> PAGEREF _Toc35186499 \h </w:instrText>
      </w:r>
      <w:r>
        <w:fldChar w:fldCharType="separate"/>
      </w:r>
      <w:r>
        <w:t>3</w:t>
      </w:r>
      <w:r>
        <w:fldChar w:fldCharType="end"/>
      </w:r>
      <w:r>
        <w:fldChar w:fldCharType="end"/>
      </w:r>
    </w:p>
    <w:p w14:paraId="22BDAF6F">
      <w:pPr>
        <w:pStyle w:val="15"/>
        <w:rPr>
          <w:kern w:val="2"/>
          <w:sz w:val="21"/>
        </w:rPr>
      </w:pPr>
      <w:r>
        <w:fldChar w:fldCharType="begin"/>
      </w:r>
      <w:r>
        <w:instrText xml:space="preserve"> HYPERLINK \l "_Toc35186500" </w:instrText>
      </w:r>
      <w:r>
        <w:fldChar w:fldCharType="separate"/>
      </w:r>
      <w:r>
        <w:rPr>
          <w:rStyle w:val="20"/>
          <w:rFonts w:hint="eastAsia" w:ascii="宋体" w:hAnsi="宋体" w:eastAsia="宋体"/>
        </w:rPr>
        <w:t>（二）项目支出</w:t>
      </w:r>
      <w:r>
        <w:tab/>
      </w:r>
      <w:r>
        <w:fldChar w:fldCharType="begin"/>
      </w:r>
      <w:r>
        <w:instrText xml:space="preserve"> PAGEREF _Toc35186500 \h </w:instrText>
      </w:r>
      <w:r>
        <w:fldChar w:fldCharType="separate"/>
      </w:r>
      <w:r>
        <w:t>4</w:t>
      </w:r>
      <w:r>
        <w:fldChar w:fldCharType="end"/>
      </w:r>
      <w:r>
        <w:fldChar w:fldCharType="end"/>
      </w:r>
    </w:p>
    <w:p w14:paraId="6870F4A2">
      <w:pPr>
        <w:pStyle w:val="13"/>
        <w:tabs>
          <w:tab w:val="right" w:leader="dot" w:pos="8302"/>
        </w:tabs>
        <w:rPr>
          <w:kern w:val="2"/>
          <w:sz w:val="21"/>
        </w:rPr>
      </w:pPr>
      <w:r>
        <w:fldChar w:fldCharType="begin"/>
      </w:r>
      <w:r>
        <w:instrText xml:space="preserve"> HYPERLINK \l "_Toc35186501" </w:instrText>
      </w:r>
      <w:r>
        <w:fldChar w:fldCharType="separate"/>
      </w:r>
      <w:r>
        <w:rPr>
          <w:rStyle w:val="20"/>
          <w:rFonts w:hint="eastAsia" w:ascii="宋体" w:hAnsi="宋体" w:eastAsia="宋体" w:cs="仿宋"/>
        </w:rPr>
        <w:t>三、资产管理情况</w:t>
      </w:r>
      <w:r>
        <w:tab/>
      </w:r>
      <w:r>
        <w:fldChar w:fldCharType="begin"/>
      </w:r>
      <w:r>
        <w:instrText xml:space="preserve"> PAGEREF _Toc35186501 \h </w:instrText>
      </w:r>
      <w:r>
        <w:fldChar w:fldCharType="separate"/>
      </w:r>
      <w:r>
        <w:t>4</w:t>
      </w:r>
      <w:r>
        <w:fldChar w:fldCharType="end"/>
      </w:r>
      <w:r>
        <w:fldChar w:fldCharType="end"/>
      </w:r>
    </w:p>
    <w:p w14:paraId="289BFD87">
      <w:pPr>
        <w:pStyle w:val="13"/>
        <w:tabs>
          <w:tab w:val="right" w:leader="dot" w:pos="8302"/>
        </w:tabs>
        <w:rPr>
          <w:kern w:val="2"/>
          <w:sz w:val="21"/>
        </w:rPr>
      </w:pPr>
      <w:r>
        <w:fldChar w:fldCharType="begin"/>
      </w:r>
      <w:r>
        <w:instrText xml:space="preserve"> HYPERLINK \l "_Toc35186502" </w:instrText>
      </w:r>
      <w:r>
        <w:fldChar w:fldCharType="separate"/>
      </w:r>
      <w:r>
        <w:rPr>
          <w:rStyle w:val="20"/>
          <w:rFonts w:hint="eastAsia" w:ascii="宋体" w:hAnsi="宋体" w:eastAsia="宋体"/>
        </w:rPr>
        <w:t>四、部门整体支出绩效情况</w:t>
      </w:r>
      <w:r>
        <w:tab/>
      </w:r>
      <w:r>
        <w:fldChar w:fldCharType="begin"/>
      </w:r>
      <w:r>
        <w:instrText xml:space="preserve"> PAGEREF _Toc35186502 \h </w:instrText>
      </w:r>
      <w:r>
        <w:fldChar w:fldCharType="separate"/>
      </w:r>
      <w:r>
        <w:t>5</w:t>
      </w:r>
      <w:r>
        <w:fldChar w:fldCharType="end"/>
      </w:r>
      <w:r>
        <w:fldChar w:fldCharType="end"/>
      </w:r>
    </w:p>
    <w:p w14:paraId="0F53B2A9">
      <w:pPr>
        <w:pStyle w:val="15"/>
        <w:rPr>
          <w:kern w:val="2"/>
          <w:sz w:val="21"/>
        </w:rPr>
      </w:pPr>
      <w:r>
        <w:fldChar w:fldCharType="begin"/>
      </w:r>
      <w:r>
        <w:instrText xml:space="preserve"> HYPERLINK \l "_Toc35186503" </w:instrText>
      </w:r>
      <w:r>
        <w:fldChar w:fldCharType="separate"/>
      </w:r>
      <w:r>
        <w:rPr>
          <w:rStyle w:val="20"/>
          <w:rFonts w:hint="eastAsia" w:ascii="宋体" w:hAnsi="宋体" w:eastAsia="宋体"/>
        </w:rPr>
        <w:t>（一）坚持严谨务实，以文辅政成效显著</w:t>
      </w:r>
      <w:r>
        <w:tab/>
      </w:r>
      <w:r>
        <w:fldChar w:fldCharType="begin"/>
      </w:r>
      <w:r>
        <w:instrText xml:space="preserve"> PAGEREF _Toc35186503 \h </w:instrText>
      </w:r>
      <w:r>
        <w:fldChar w:fldCharType="separate"/>
      </w:r>
      <w:r>
        <w:t>5</w:t>
      </w:r>
      <w:r>
        <w:fldChar w:fldCharType="end"/>
      </w:r>
      <w:r>
        <w:fldChar w:fldCharType="end"/>
      </w:r>
    </w:p>
    <w:p w14:paraId="59FBE763">
      <w:pPr>
        <w:pStyle w:val="15"/>
        <w:rPr>
          <w:kern w:val="2"/>
          <w:sz w:val="21"/>
        </w:rPr>
      </w:pPr>
      <w:r>
        <w:fldChar w:fldCharType="begin"/>
      </w:r>
      <w:r>
        <w:instrText xml:space="preserve"> HYPERLINK \l "_Toc35186504" </w:instrText>
      </w:r>
      <w:r>
        <w:fldChar w:fldCharType="separate"/>
      </w:r>
      <w:r>
        <w:rPr>
          <w:rStyle w:val="20"/>
          <w:rFonts w:hint="eastAsia" w:ascii="宋体" w:hAnsi="宋体" w:eastAsia="宋体"/>
        </w:rPr>
        <w:t>（二）坚持全员参与，调查研究扩面提质</w:t>
      </w:r>
      <w:r>
        <w:tab/>
      </w:r>
      <w:r>
        <w:fldChar w:fldCharType="begin"/>
      </w:r>
      <w:r>
        <w:instrText xml:space="preserve"> PAGEREF _Toc35186504 \h </w:instrText>
      </w:r>
      <w:r>
        <w:fldChar w:fldCharType="separate"/>
      </w:r>
      <w:r>
        <w:t>5</w:t>
      </w:r>
      <w:r>
        <w:fldChar w:fldCharType="end"/>
      </w:r>
      <w:r>
        <w:fldChar w:fldCharType="end"/>
      </w:r>
    </w:p>
    <w:p w14:paraId="681C82CF">
      <w:pPr>
        <w:pStyle w:val="15"/>
        <w:rPr>
          <w:kern w:val="2"/>
          <w:sz w:val="21"/>
        </w:rPr>
      </w:pPr>
      <w:r>
        <w:fldChar w:fldCharType="begin"/>
      </w:r>
      <w:r>
        <w:instrText xml:space="preserve"> HYPERLINK \l "_Toc35186505" </w:instrText>
      </w:r>
      <w:r>
        <w:fldChar w:fldCharType="separate"/>
      </w:r>
      <w:r>
        <w:rPr>
          <w:rStyle w:val="20"/>
          <w:rFonts w:hint="eastAsia" w:ascii="宋体" w:hAnsi="宋体" w:eastAsia="宋体"/>
        </w:rPr>
        <w:t>（三）坚持精准发力，改革攻坚扎实推进</w:t>
      </w:r>
      <w:r>
        <w:tab/>
      </w:r>
      <w:r>
        <w:fldChar w:fldCharType="begin"/>
      </w:r>
      <w:r>
        <w:instrText xml:space="preserve"> PAGEREF _Toc35186505 \h </w:instrText>
      </w:r>
      <w:r>
        <w:fldChar w:fldCharType="separate"/>
      </w:r>
      <w:r>
        <w:t>6</w:t>
      </w:r>
      <w:r>
        <w:fldChar w:fldCharType="end"/>
      </w:r>
      <w:r>
        <w:fldChar w:fldCharType="end"/>
      </w:r>
    </w:p>
    <w:p w14:paraId="3188C62B">
      <w:pPr>
        <w:pStyle w:val="15"/>
        <w:rPr>
          <w:kern w:val="2"/>
          <w:sz w:val="21"/>
        </w:rPr>
      </w:pPr>
      <w:r>
        <w:fldChar w:fldCharType="begin"/>
      </w:r>
      <w:r>
        <w:instrText xml:space="preserve"> HYPERLINK \l "_Toc35186506" </w:instrText>
      </w:r>
      <w:r>
        <w:fldChar w:fldCharType="separate"/>
      </w:r>
      <w:r>
        <w:rPr>
          <w:rStyle w:val="20"/>
          <w:rFonts w:hint="eastAsia" w:ascii="宋体" w:hAnsi="宋体" w:eastAsia="宋体"/>
        </w:rPr>
        <w:t>（四）坚持担当作为，财经研判初见成效</w:t>
      </w:r>
      <w:r>
        <w:tab/>
      </w:r>
      <w:r>
        <w:fldChar w:fldCharType="begin"/>
      </w:r>
      <w:r>
        <w:instrText xml:space="preserve"> PAGEREF _Toc35186506 \h </w:instrText>
      </w:r>
      <w:r>
        <w:fldChar w:fldCharType="separate"/>
      </w:r>
      <w:r>
        <w:t>8</w:t>
      </w:r>
      <w:r>
        <w:fldChar w:fldCharType="end"/>
      </w:r>
      <w:r>
        <w:fldChar w:fldCharType="end"/>
      </w:r>
    </w:p>
    <w:p w14:paraId="38CA0312">
      <w:pPr>
        <w:pStyle w:val="15"/>
        <w:rPr>
          <w:kern w:val="2"/>
          <w:sz w:val="21"/>
        </w:rPr>
      </w:pPr>
      <w:r>
        <w:fldChar w:fldCharType="begin"/>
      </w:r>
      <w:r>
        <w:instrText xml:space="preserve"> HYPERLINK \l "_Toc35186507" </w:instrText>
      </w:r>
      <w:r>
        <w:fldChar w:fldCharType="separate"/>
      </w:r>
      <w:r>
        <w:rPr>
          <w:rStyle w:val="20"/>
          <w:rFonts w:hint="eastAsia" w:ascii="宋体" w:hAnsi="宋体" w:eastAsia="宋体"/>
        </w:rPr>
        <w:t>（五）坚持专业专精，资政载体更加优质</w:t>
      </w:r>
      <w:r>
        <w:tab/>
      </w:r>
      <w:r>
        <w:fldChar w:fldCharType="begin"/>
      </w:r>
      <w:r>
        <w:instrText xml:space="preserve"> PAGEREF _Toc35186507 \h </w:instrText>
      </w:r>
      <w:r>
        <w:fldChar w:fldCharType="separate"/>
      </w:r>
      <w:r>
        <w:t>9</w:t>
      </w:r>
      <w:r>
        <w:fldChar w:fldCharType="end"/>
      </w:r>
      <w:r>
        <w:fldChar w:fldCharType="end"/>
      </w:r>
    </w:p>
    <w:p w14:paraId="64B2B3C7">
      <w:pPr>
        <w:pStyle w:val="15"/>
        <w:rPr>
          <w:kern w:val="2"/>
          <w:sz w:val="21"/>
        </w:rPr>
      </w:pPr>
      <w:r>
        <w:fldChar w:fldCharType="begin"/>
      </w:r>
      <w:r>
        <w:instrText xml:space="preserve"> HYPERLINK \l "_Toc35186508" </w:instrText>
      </w:r>
      <w:r>
        <w:fldChar w:fldCharType="separate"/>
      </w:r>
      <w:r>
        <w:rPr>
          <w:rStyle w:val="20"/>
          <w:rFonts w:hint="eastAsia" w:ascii="宋体" w:hAnsi="宋体" w:eastAsia="宋体"/>
        </w:rPr>
        <w:t>（六）坚持严管厚爱，队伍建设切实强化</w:t>
      </w:r>
      <w:r>
        <w:tab/>
      </w:r>
      <w:r>
        <w:fldChar w:fldCharType="begin"/>
      </w:r>
      <w:r>
        <w:instrText xml:space="preserve"> PAGEREF _Toc35186508 \h </w:instrText>
      </w:r>
      <w:r>
        <w:fldChar w:fldCharType="separate"/>
      </w:r>
      <w:r>
        <w:t>10</w:t>
      </w:r>
      <w:r>
        <w:fldChar w:fldCharType="end"/>
      </w:r>
      <w:r>
        <w:fldChar w:fldCharType="end"/>
      </w:r>
    </w:p>
    <w:p w14:paraId="2DBC2B52">
      <w:pPr>
        <w:pStyle w:val="13"/>
        <w:tabs>
          <w:tab w:val="right" w:leader="dot" w:pos="8302"/>
        </w:tabs>
        <w:rPr>
          <w:kern w:val="2"/>
          <w:sz w:val="21"/>
        </w:rPr>
      </w:pPr>
      <w:r>
        <w:fldChar w:fldCharType="begin"/>
      </w:r>
      <w:r>
        <w:instrText xml:space="preserve"> HYPERLINK \l "_Toc35186509" </w:instrText>
      </w:r>
      <w:r>
        <w:fldChar w:fldCharType="separate"/>
      </w:r>
      <w:r>
        <w:rPr>
          <w:rStyle w:val="20"/>
          <w:rFonts w:hint="eastAsia" w:ascii="宋体" w:hAnsi="宋体" w:eastAsia="宋体"/>
        </w:rPr>
        <w:t>五、存在的主要问题</w:t>
      </w:r>
      <w:r>
        <w:tab/>
      </w:r>
      <w:r>
        <w:fldChar w:fldCharType="begin"/>
      </w:r>
      <w:r>
        <w:instrText xml:space="preserve"> PAGEREF _Toc35186509 \h </w:instrText>
      </w:r>
      <w:r>
        <w:fldChar w:fldCharType="separate"/>
      </w:r>
      <w:r>
        <w:t>11</w:t>
      </w:r>
      <w:r>
        <w:fldChar w:fldCharType="end"/>
      </w:r>
      <w:r>
        <w:fldChar w:fldCharType="end"/>
      </w:r>
    </w:p>
    <w:p w14:paraId="2D6DE299">
      <w:pPr>
        <w:pStyle w:val="15"/>
        <w:rPr>
          <w:kern w:val="2"/>
          <w:sz w:val="21"/>
        </w:rPr>
      </w:pPr>
      <w:r>
        <w:fldChar w:fldCharType="begin"/>
      </w:r>
      <w:r>
        <w:instrText xml:space="preserve"> HYPERLINK \l "_Toc35186510" </w:instrText>
      </w:r>
      <w:r>
        <w:fldChar w:fldCharType="separate"/>
      </w:r>
      <w:r>
        <w:rPr>
          <w:rStyle w:val="20"/>
          <w:rFonts w:hint="eastAsia" w:ascii="宋体" w:hAnsi="宋体" w:eastAsia="宋体"/>
        </w:rPr>
        <w:t>（一）预算编制不够完善</w:t>
      </w:r>
      <w:r>
        <w:tab/>
      </w:r>
      <w:r>
        <w:fldChar w:fldCharType="begin"/>
      </w:r>
      <w:r>
        <w:instrText xml:space="preserve"> PAGEREF _Toc35186510 \h </w:instrText>
      </w:r>
      <w:r>
        <w:fldChar w:fldCharType="separate"/>
      </w:r>
      <w:r>
        <w:t>11</w:t>
      </w:r>
      <w:r>
        <w:fldChar w:fldCharType="end"/>
      </w:r>
      <w:r>
        <w:fldChar w:fldCharType="end"/>
      </w:r>
    </w:p>
    <w:p w14:paraId="6EA0A4C5">
      <w:pPr>
        <w:pStyle w:val="15"/>
        <w:rPr>
          <w:kern w:val="2"/>
          <w:sz w:val="21"/>
        </w:rPr>
      </w:pPr>
      <w:r>
        <w:fldChar w:fldCharType="begin"/>
      </w:r>
      <w:r>
        <w:instrText xml:space="preserve"> HYPERLINK \l "_Toc35186511" </w:instrText>
      </w:r>
      <w:r>
        <w:fldChar w:fldCharType="separate"/>
      </w:r>
      <w:r>
        <w:rPr>
          <w:rStyle w:val="20"/>
          <w:rFonts w:hint="eastAsia" w:ascii="宋体" w:hAnsi="宋体" w:eastAsia="宋体"/>
        </w:rPr>
        <w:t>（二）预算执行存在偏差</w:t>
      </w:r>
      <w:r>
        <w:tab/>
      </w:r>
      <w:r>
        <w:fldChar w:fldCharType="begin"/>
      </w:r>
      <w:r>
        <w:instrText xml:space="preserve"> PAGEREF _Toc35186511 \h </w:instrText>
      </w:r>
      <w:r>
        <w:fldChar w:fldCharType="separate"/>
      </w:r>
      <w:r>
        <w:t>12</w:t>
      </w:r>
      <w:r>
        <w:fldChar w:fldCharType="end"/>
      </w:r>
      <w:r>
        <w:fldChar w:fldCharType="end"/>
      </w:r>
    </w:p>
    <w:p w14:paraId="3181F049">
      <w:pPr>
        <w:pStyle w:val="15"/>
        <w:rPr>
          <w:kern w:val="2"/>
          <w:sz w:val="21"/>
        </w:rPr>
      </w:pPr>
      <w:r>
        <w:fldChar w:fldCharType="begin"/>
      </w:r>
      <w:r>
        <w:instrText xml:space="preserve"> HYPERLINK \l "_Toc35186512" </w:instrText>
      </w:r>
      <w:r>
        <w:fldChar w:fldCharType="separate"/>
      </w:r>
      <w:r>
        <w:rPr>
          <w:rStyle w:val="20"/>
          <w:rFonts w:hint="eastAsia" w:ascii="宋体" w:hAnsi="宋体" w:eastAsia="宋体"/>
        </w:rPr>
        <w:t>（三）固定资产管理有待加强</w:t>
      </w:r>
      <w:r>
        <w:tab/>
      </w:r>
      <w:r>
        <w:fldChar w:fldCharType="begin"/>
      </w:r>
      <w:r>
        <w:instrText xml:space="preserve"> PAGEREF _Toc35186512 \h </w:instrText>
      </w:r>
      <w:r>
        <w:fldChar w:fldCharType="separate"/>
      </w:r>
      <w:r>
        <w:t>12</w:t>
      </w:r>
      <w:r>
        <w:fldChar w:fldCharType="end"/>
      </w:r>
      <w:r>
        <w:fldChar w:fldCharType="end"/>
      </w:r>
    </w:p>
    <w:p w14:paraId="68463FAC">
      <w:pPr>
        <w:pStyle w:val="13"/>
        <w:tabs>
          <w:tab w:val="right" w:leader="dot" w:pos="8302"/>
        </w:tabs>
        <w:rPr>
          <w:kern w:val="2"/>
          <w:sz w:val="21"/>
        </w:rPr>
      </w:pPr>
      <w:r>
        <w:fldChar w:fldCharType="begin"/>
      </w:r>
      <w:r>
        <w:instrText xml:space="preserve"> HYPERLINK \l "_Toc35186513" </w:instrText>
      </w:r>
      <w:r>
        <w:fldChar w:fldCharType="separate"/>
      </w:r>
      <w:r>
        <w:rPr>
          <w:rStyle w:val="20"/>
          <w:rFonts w:hint="eastAsia" w:ascii="宋体" w:hAnsi="宋体" w:eastAsia="宋体"/>
        </w:rPr>
        <w:t>六、改进措施和有关建议</w:t>
      </w:r>
      <w:r>
        <w:tab/>
      </w:r>
      <w:r>
        <w:fldChar w:fldCharType="begin"/>
      </w:r>
      <w:r>
        <w:instrText xml:space="preserve"> PAGEREF _Toc35186513 \h </w:instrText>
      </w:r>
      <w:r>
        <w:fldChar w:fldCharType="separate"/>
      </w:r>
      <w:r>
        <w:t>12</w:t>
      </w:r>
      <w:r>
        <w:fldChar w:fldCharType="end"/>
      </w:r>
      <w:r>
        <w:fldChar w:fldCharType="end"/>
      </w:r>
    </w:p>
    <w:p w14:paraId="37A86E1D">
      <w:pPr>
        <w:pStyle w:val="15"/>
        <w:rPr>
          <w:kern w:val="2"/>
          <w:sz w:val="21"/>
        </w:rPr>
      </w:pPr>
      <w:r>
        <w:fldChar w:fldCharType="begin"/>
      </w:r>
      <w:r>
        <w:instrText xml:space="preserve"> HYPERLINK \l "_Toc35186514" </w:instrText>
      </w:r>
      <w:r>
        <w:fldChar w:fldCharType="separate"/>
      </w:r>
      <w:r>
        <w:rPr>
          <w:rStyle w:val="20"/>
          <w:rFonts w:hint="eastAsia" w:ascii="宋体" w:hAnsi="宋体" w:eastAsia="宋体"/>
        </w:rPr>
        <w:t>（一）合理制定预算，严格执行预算</w:t>
      </w:r>
      <w:r>
        <w:tab/>
      </w:r>
      <w:r>
        <w:fldChar w:fldCharType="begin"/>
      </w:r>
      <w:r>
        <w:instrText xml:space="preserve"> PAGEREF _Toc35186514 \h </w:instrText>
      </w:r>
      <w:r>
        <w:fldChar w:fldCharType="separate"/>
      </w:r>
      <w:r>
        <w:t>12</w:t>
      </w:r>
      <w:r>
        <w:fldChar w:fldCharType="end"/>
      </w:r>
      <w:r>
        <w:fldChar w:fldCharType="end"/>
      </w:r>
    </w:p>
    <w:p w14:paraId="2A3D76BA">
      <w:pPr>
        <w:pStyle w:val="15"/>
        <w:rPr>
          <w:kern w:val="2"/>
          <w:sz w:val="21"/>
        </w:rPr>
      </w:pPr>
      <w:r>
        <w:fldChar w:fldCharType="begin"/>
      </w:r>
      <w:r>
        <w:instrText xml:space="preserve"> HYPERLINK \l "_Toc35186515" </w:instrText>
      </w:r>
      <w:r>
        <w:fldChar w:fldCharType="separate"/>
      </w:r>
      <w:r>
        <w:rPr>
          <w:rStyle w:val="20"/>
          <w:rFonts w:hint="eastAsia" w:ascii="宋体" w:hAnsi="宋体" w:eastAsia="宋体"/>
        </w:rPr>
        <w:t>（二）加强固定资产管理</w:t>
      </w:r>
      <w:r>
        <w:tab/>
      </w:r>
      <w:r>
        <w:fldChar w:fldCharType="begin"/>
      </w:r>
      <w:r>
        <w:instrText xml:space="preserve"> PAGEREF _Toc35186515 \h </w:instrText>
      </w:r>
      <w:r>
        <w:fldChar w:fldCharType="separate"/>
      </w:r>
      <w:r>
        <w:t>12</w:t>
      </w:r>
      <w:r>
        <w:fldChar w:fldCharType="end"/>
      </w:r>
      <w:r>
        <w:fldChar w:fldCharType="end"/>
      </w:r>
    </w:p>
    <w:p w14:paraId="2F37FEC7">
      <w:pPr>
        <w:pStyle w:val="13"/>
        <w:tabs>
          <w:tab w:val="right" w:leader="dot" w:pos="8302"/>
        </w:tabs>
        <w:rPr>
          <w:kern w:val="2"/>
          <w:sz w:val="21"/>
        </w:rPr>
      </w:pPr>
      <w:r>
        <w:fldChar w:fldCharType="begin"/>
      </w:r>
      <w:r>
        <w:instrText xml:space="preserve"> HYPERLINK \l "_Toc35186516" </w:instrText>
      </w:r>
      <w:r>
        <w:fldChar w:fldCharType="separate"/>
      </w:r>
      <w:r>
        <w:rPr>
          <w:rStyle w:val="20"/>
          <w:rFonts w:hint="eastAsia" w:ascii="宋体" w:hAnsi="宋体" w:eastAsia="宋体"/>
        </w:rPr>
        <w:t>七、报告附表</w:t>
      </w:r>
      <w:r>
        <w:tab/>
      </w:r>
      <w:r>
        <w:fldChar w:fldCharType="begin"/>
      </w:r>
      <w:r>
        <w:instrText xml:space="preserve"> PAGEREF _Toc35186516 \h </w:instrText>
      </w:r>
      <w:r>
        <w:fldChar w:fldCharType="separate"/>
      </w:r>
      <w:r>
        <w:t>12</w:t>
      </w:r>
      <w:r>
        <w:fldChar w:fldCharType="end"/>
      </w:r>
      <w:r>
        <w:fldChar w:fldCharType="end"/>
      </w:r>
    </w:p>
    <w:p w14:paraId="337442CC">
      <w:pPr>
        <w:widowControl/>
        <w:spacing w:before="100" w:beforeAutospacing="1"/>
        <w:ind w:right="641"/>
        <w:jc w:val="center"/>
        <w:rPr>
          <w:rFonts w:ascii="宋体" w:hAnsi="宋体" w:eastAsia="宋体" w:cs="宋体"/>
          <w:kern w:val="0"/>
          <w:sz w:val="28"/>
          <w:szCs w:val="28"/>
        </w:rPr>
      </w:pPr>
      <w:r>
        <w:rPr>
          <w:rFonts w:ascii="宋体" w:hAnsi="宋体" w:eastAsia="宋体" w:cs="宋体"/>
          <w:kern w:val="0"/>
          <w:szCs w:val="28"/>
        </w:rPr>
        <w:fldChar w:fldCharType="end"/>
      </w:r>
    </w:p>
    <w:p w14:paraId="30912488">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0CCBE651">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69EC139C">
      <w:pPr>
        <w:widowControl/>
        <w:spacing w:before="100" w:beforeAutospacing="1" w:after="100" w:afterAutospacing="1" w:line="360" w:lineRule="auto"/>
        <w:ind w:right="641"/>
        <w:rPr>
          <w:rFonts w:ascii="宋体" w:hAnsi="宋体" w:eastAsia="宋体" w:cs="宋体"/>
          <w:kern w:val="0"/>
          <w:sz w:val="28"/>
          <w:szCs w:val="28"/>
        </w:rPr>
        <w:sectPr>
          <w:footerReference r:id="rId4" w:type="first"/>
          <w:headerReference r:id="rId3" w:type="default"/>
          <w:pgSz w:w="11906" w:h="16838"/>
          <w:pgMar w:top="1440" w:right="1797" w:bottom="1440" w:left="1797" w:header="851" w:footer="992" w:gutter="0"/>
          <w:pgNumType w:start="0"/>
          <w:cols w:space="425" w:num="1"/>
          <w:titlePg/>
          <w:docGrid w:type="linesAndChars" w:linePitch="312" w:charSpace="0"/>
        </w:sectPr>
      </w:pPr>
    </w:p>
    <w:p w14:paraId="7EC5D748">
      <w:pPr>
        <w:widowControl/>
        <w:spacing w:before="100" w:beforeAutospacing="1" w:after="100" w:afterAutospacing="1" w:line="360" w:lineRule="auto"/>
        <w:ind w:right="641"/>
        <w:rPr>
          <w:rFonts w:ascii="宋体" w:hAnsi="宋体" w:eastAsia="宋体" w:cs="宋体"/>
          <w:kern w:val="0"/>
          <w:sz w:val="28"/>
          <w:szCs w:val="28"/>
        </w:rPr>
      </w:pPr>
    </w:p>
    <w:p w14:paraId="093C47D7">
      <w:pPr>
        <w:widowControl/>
        <w:spacing w:before="100" w:beforeAutospacing="1" w:after="100" w:afterAutospacing="1" w:line="360" w:lineRule="auto"/>
        <w:ind w:right="641" w:firstLine="560" w:firstLineChars="200"/>
        <w:jc w:val="center"/>
        <w:rPr>
          <w:rFonts w:ascii="宋体" w:hAnsi="宋体" w:eastAsia="宋体" w:cs="宋体"/>
          <w:b/>
          <w:kern w:val="0"/>
          <w:sz w:val="28"/>
          <w:szCs w:val="28"/>
        </w:rPr>
      </w:pPr>
      <w:r>
        <w:rPr>
          <w:rFonts w:hint="eastAsia" w:ascii="宋体" w:hAnsi="宋体" w:eastAsia="宋体" w:cs="宋体"/>
          <w:b/>
          <w:kern w:val="0"/>
          <w:sz w:val="28"/>
          <w:szCs w:val="28"/>
        </w:rPr>
        <w:t>中共长沙市委政策研究室（市委改革办）</w:t>
      </w:r>
    </w:p>
    <w:p w14:paraId="3CA1C2D5">
      <w:pPr>
        <w:widowControl/>
        <w:spacing w:before="100" w:beforeAutospacing="1" w:after="100" w:afterAutospacing="1" w:line="360" w:lineRule="auto"/>
        <w:ind w:right="641" w:firstLine="560" w:firstLineChars="200"/>
        <w:jc w:val="center"/>
        <w:rPr>
          <w:rFonts w:ascii="宋体" w:hAnsi="宋体" w:eastAsia="宋体" w:cs="宋体"/>
          <w:b/>
          <w:kern w:val="0"/>
          <w:sz w:val="28"/>
          <w:szCs w:val="28"/>
        </w:rPr>
      </w:pPr>
      <w:r>
        <w:rPr>
          <w:rFonts w:hint="eastAsia" w:ascii="宋体" w:hAnsi="宋体" w:eastAsia="宋体" w:cs="宋体"/>
          <w:b/>
          <w:kern w:val="0"/>
          <w:sz w:val="28"/>
          <w:szCs w:val="28"/>
        </w:rPr>
        <w:t>2019年度部门整体支出绩效自评报告</w:t>
      </w:r>
    </w:p>
    <w:p w14:paraId="23402310">
      <w:pPr>
        <w:spacing w:line="360" w:lineRule="auto"/>
        <w:ind w:firstLine="560" w:firstLineChars="200"/>
        <w:jc w:val="left"/>
        <w:rPr>
          <w:rFonts w:ascii="宋体" w:hAnsi="宋体" w:eastAsia="宋体" w:cs="仿宋"/>
          <w:sz w:val="28"/>
          <w:szCs w:val="28"/>
        </w:rPr>
      </w:pPr>
      <w:r>
        <w:rPr>
          <w:rFonts w:hint="eastAsia" w:ascii="宋体" w:hAnsi="宋体" w:eastAsia="宋体" w:cs="仿宋"/>
          <w:sz w:val="28"/>
          <w:szCs w:val="28"/>
        </w:rPr>
        <w:t>为加强财政预算资金管理，进一步规范预算资金使用，切实提高财政资金使用效益，根据财政部《财政支出绩效评价管理暂行办法》和《</w:t>
      </w:r>
      <w:r>
        <w:rPr>
          <w:rFonts w:ascii="宋体" w:hAnsi="宋体" w:eastAsia="宋体" w:cs="仿宋"/>
          <w:sz w:val="28"/>
          <w:szCs w:val="28"/>
        </w:rPr>
        <w:t>关于开展2020年市直单位绩效自评工作的通知</w:t>
      </w:r>
      <w:r>
        <w:rPr>
          <w:rFonts w:hint="eastAsia" w:ascii="宋体" w:hAnsi="宋体" w:eastAsia="宋体" w:cs="仿宋"/>
          <w:sz w:val="28"/>
          <w:szCs w:val="28"/>
        </w:rPr>
        <w:t>》（长财绩[2020]1号）文件精神，我室积极组织对2019年度本单位整体支出进行了绩效评价。现将具体绩效评价情况报告如下：</w:t>
      </w:r>
    </w:p>
    <w:p w14:paraId="1242DF36">
      <w:pPr>
        <w:pStyle w:val="2"/>
        <w:spacing w:before="0" w:after="0" w:line="360" w:lineRule="auto"/>
        <w:ind w:firstLine="560" w:firstLineChars="200"/>
        <w:contextualSpacing/>
        <w:rPr>
          <w:rFonts w:ascii="宋体" w:hAnsi="宋体" w:eastAsia="宋体"/>
          <w:kern w:val="0"/>
          <w:sz w:val="28"/>
          <w:szCs w:val="28"/>
        </w:rPr>
      </w:pPr>
      <w:bookmarkStart w:id="0" w:name="_Toc35186493"/>
      <w:r>
        <w:rPr>
          <w:rFonts w:hint="eastAsia" w:ascii="宋体" w:hAnsi="宋体" w:eastAsia="宋体"/>
          <w:kern w:val="0"/>
          <w:sz w:val="28"/>
          <w:szCs w:val="28"/>
        </w:rPr>
        <w:t>一、部门概况</w:t>
      </w:r>
      <w:bookmarkEnd w:id="0"/>
    </w:p>
    <w:p w14:paraId="59631ADA">
      <w:pPr>
        <w:pStyle w:val="3"/>
        <w:spacing w:before="0" w:after="0" w:line="360" w:lineRule="auto"/>
        <w:ind w:firstLine="560" w:firstLineChars="200"/>
        <w:contextualSpacing/>
        <w:rPr>
          <w:rFonts w:ascii="宋体" w:hAnsi="宋体" w:eastAsia="宋体"/>
          <w:b w:val="0"/>
          <w:kern w:val="0"/>
          <w:sz w:val="28"/>
          <w:szCs w:val="28"/>
        </w:rPr>
      </w:pPr>
      <w:bookmarkStart w:id="1" w:name="_Toc35186494"/>
      <w:r>
        <w:rPr>
          <w:rFonts w:hint="eastAsia" w:ascii="宋体" w:hAnsi="宋体" w:eastAsia="宋体"/>
          <w:b w:val="0"/>
          <w:kern w:val="0"/>
          <w:sz w:val="28"/>
          <w:szCs w:val="28"/>
        </w:rPr>
        <w:t>（一）部门基本情况</w:t>
      </w:r>
      <w:bookmarkEnd w:id="1"/>
    </w:p>
    <w:p w14:paraId="7D9B55FF">
      <w:pPr>
        <w:pStyle w:val="4"/>
        <w:spacing w:before="0" w:after="0" w:line="360" w:lineRule="auto"/>
        <w:ind w:firstLine="560" w:firstLineChars="200"/>
        <w:contextualSpacing/>
      </w:pPr>
      <w:bookmarkStart w:id="2" w:name="_Toc35186495"/>
      <w:r>
        <w:rPr>
          <w:rFonts w:hint="eastAsia" w:ascii="宋体" w:hAnsi="宋体" w:eastAsia="宋体"/>
          <w:b w:val="0"/>
          <w:kern w:val="0"/>
          <w:sz w:val="28"/>
          <w:szCs w:val="28"/>
        </w:rPr>
        <w:t>（1）在职人员情况及机构设置情况</w:t>
      </w:r>
      <w:bookmarkEnd w:id="2"/>
    </w:p>
    <w:p w14:paraId="52869CB0">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中共长沙市委政策研究室（以下简称“政研室”）设内设机构9个：市委改革办改革协调处、市委改革办改革督察处，市委财办财经处，秘书处（人事处）、综合研究处（决策咨询处）、经济研究处、社会研究处、党建研究处、党刊编辑处。另设机关党总支。</w:t>
      </w:r>
    </w:p>
    <w:p w14:paraId="3DD361BE">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截至2019年12底，市委政研室机关行政编制33名，其中在职人员29人。领导职数为：主任1名，副主任3名；处长（主任，乡科级正职）领导职数10名（含</w:t>
      </w:r>
      <w:r>
        <w:rPr>
          <w:rFonts w:hint="eastAsia" w:ascii="宋体" w:hAnsi="宋体" w:eastAsia="宋体" w:cs="仿宋"/>
          <w:color w:val="000000" w:themeColor="text1"/>
          <w:sz w:val="28"/>
          <w:szCs w:val="28"/>
          <w14:textFill>
            <w14:solidFill>
              <w14:schemeClr w14:val="tx1"/>
            </w14:solidFill>
          </w14:textFill>
        </w:rPr>
        <w:t>机关党支部专职副书</w:t>
      </w:r>
      <w:r>
        <w:rPr>
          <w:rFonts w:hint="eastAsia" w:ascii="宋体" w:hAnsi="宋体" w:eastAsia="宋体" w:cs="仿宋"/>
          <w:sz w:val="28"/>
          <w:szCs w:val="28"/>
        </w:rPr>
        <w:t>记1名），副处长（副主任，乡科级副职）领导职数9名。</w:t>
      </w:r>
    </w:p>
    <w:p w14:paraId="587DF6DD">
      <w:pPr>
        <w:pStyle w:val="4"/>
        <w:spacing w:before="0" w:after="0" w:line="360" w:lineRule="auto"/>
        <w:ind w:firstLine="560" w:firstLineChars="200"/>
        <w:contextualSpacing/>
        <w:rPr>
          <w:rFonts w:ascii="宋体" w:hAnsi="宋体" w:eastAsia="宋体"/>
          <w:b w:val="0"/>
          <w:kern w:val="0"/>
          <w:sz w:val="28"/>
          <w:szCs w:val="28"/>
        </w:rPr>
      </w:pPr>
      <w:bookmarkStart w:id="3" w:name="_Toc35186496"/>
      <w:r>
        <w:rPr>
          <w:rFonts w:hint="eastAsia" w:ascii="宋体" w:hAnsi="宋体" w:eastAsia="宋体"/>
          <w:b w:val="0"/>
          <w:kern w:val="0"/>
          <w:sz w:val="28"/>
          <w:szCs w:val="28"/>
        </w:rPr>
        <w:t>（2）主要工作职责</w:t>
      </w:r>
      <w:bookmarkEnd w:id="3"/>
    </w:p>
    <w:p w14:paraId="02149212">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政研室是</w:t>
      </w:r>
      <w:r>
        <w:rPr>
          <w:rFonts w:ascii="宋体" w:hAnsi="宋体" w:eastAsia="宋体" w:cs="仿宋"/>
          <w:sz w:val="28"/>
          <w:szCs w:val="28"/>
        </w:rPr>
        <w:t>负责全市综合性政策研究、</w:t>
      </w:r>
      <w:r>
        <w:rPr>
          <w:rFonts w:hint="eastAsia" w:ascii="宋体" w:hAnsi="宋体" w:eastAsia="宋体" w:cs="仿宋"/>
          <w:sz w:val="28"/>
          <w:szCs w:val="28"/>
        </w:rPr>
        <w:t>全市深化改革的统筹协调推进、</w:t>
      </w:r>
      <w:r>
        <w:rPr>
          <w:rFonts w:ascii="宋体" w:hAnsi="宋体" w:eastAsia="宋体" w:cs="仿宋"/>
          <w:sz w:val="28"/>
          <w:szCs w:val="28"/>
        </w:rPr>
        <w:t>决策咨询、小康协调等工作的市委组成部门。</w:t>
      </w:r>
      <w:r>
        <w:rPr>
          <w:rFonts w:hint="eastAsia" w:ascii="宋体" w:hAnsi="宋体" w:eastAsia="宋体" w:cs="仿宋"/>
          <w:color w:val="000000" w:themeColor="text1"/>
          <w:sz w:val="28"/>
          <w:szCs w:val="28"/>
          <w14:textFill>
            <w14:solidFill>
              <w14:schemeClr w14:val="tx1"/>
            </w14:solidFill>
          </w14:textFill>
        </w:rPr>
        <w:t>主要职责为</w:t>
      </w:r>
      <w:r>
        <w:rPr>
          <w:rFonts w:hint="eastAsia" w:ascii="宋体" w:hAnsi="宋体" w:eastAsia="宋体" w:cs="仿宋"/>
          <w:sz w:val="28"/>
          <w:szCs w:val="28"/>
        </w:rPr>
        <w:t>负责起草市委主要领导同志的报告、讲话和其他文稿，负责起草市委重要文件和其它重要文稿；根据市委领导意图，对全市政治、经济、文化、社会、生态和党建等方面的重大问题进行调查研究，为市委决策提出意见和建议；负责收集和研究整理省内外、市内外重要信息资料，对政治、经济、文化、社会、生态和党建等方面的重大问题进行分析和预测，及时将有关资料和研究成果提供给市委领导参阅；负责创建长沙新型智库建设，建设智库体系、汇聚智力资源，更好为市委做好参谋服务；负责全市全面深化改革重大问题的政策研究，统筹、协调、督促、检查、推动改革工作的落实落地；负责全面建成小康社会推</w:t>
      </w:r>
      <w:r>
        <w:rPr>
          <w:rFonts w:hint="eastAsia" w:ascii="宋体" w:hAnsi="宋体" w:eastAsia="宋体" w:cs="仿宋"/>
          <w:color w:val="000000" w:themeColor="text1"/>
          <w:sz w:val="28"/>
          <w:szCs w:val="28"/>
          <w14:textFill>
            <w14:solidFill>
              <w14:schemeClr w14:val="tx1"/>
            </w14:solidFill>
          </w14:textFill>
        </w:rPr>
        <w:t>进工作的综合协调、联络指导、考评监测、奖评督查等具体任务；</w:t>
      </w:r>
      <w:r>
        <w:rPr>
          <w:rFonts w:hint="eastAsia" w:ascii="宋体" w:hAnsi="宋体" w:eastAsia="宋体" w:cs="仿宋"/>
          <w:sz w:val="28"/>
          <w:szCs w:val="28"/>
        </w:rPr>
        <w:t>负责全市财经重大决策参谋服务、财经分析，负责市委财经委员会日常运转服务</w:t>
      </w:r>
      <w:r>
        <w:rPr>
          <w:rFonts w:hint="eastAsia" w:ascii="仿宋_GB2312" w:hAnsi="仿宋_GB2312" w:eastAsia="仿宋_GB2312" w:cs="仿宋_GB2312"/>
          <w:color w:val="000000" w:themeColor="text1"/>
          <w:sz w:val="28"/>
          <w:szCs w:val="28"/>
          <w:lang w:val="zh-CN"/>
          <w14:textFill>
            <w14:solidFill>
              <w14:schemeClr w14:val="tx1"/>
            </w14:solidFill>
          </w14:textFill>
        </w:rPr>
        <w:t>。</w:t>
      </w:r>
    </w:p>
    <w:p w14:paraId="533B133C">
      <w:pPr>
        <w:spacing w:line="360" w:lineRule="auto"/>
        <w:ind w:firstLine="480" w:firstLineChars="200"/>
        <w:rPr>
          <w:rFonts w:ascii="宋体" w:hAnsi="宋体" w:eastAsia="宋体" w:cs="仿宋"/>
          <w:sz w:val="28"/>
          <w:szCs w:val="28"/>
        </w:rPr>
      </w:pPr>
      <w:r>
        <w:rPr>
          <w:rFonts w:ascii="微软雅黑" w:hAnsi="微软雅黑" w:eastAsia="微软雅黑" w:cs="微软雅黑"/>
          <w:color w:val="555555"/>
          <w:sz w:val="24"/>
          <w:szCs w:val="24"/>
          <w:shd w:val="clear" w:color="auto" w:fill="FFFFFF"/>
        </w:rPr>
        <w:t>　</w:t>
      </w:r>
      <w:r>
        <w:rPr>
          <w:rFonts w:hint="eastAsia" w:ascii="宋体" w:hAnsi="宋体" w:eastAsia="宋体"/>
          <w:bCs/>
          <w:kern w:val="0"/>
          <w:sz w:val="28"/>
          <w:szCs w:val="28"/>
        </w:rPr>
        <w:t>（3）重点工作计划</w:t>
      </w:r>
    </w:p>
    <w:p w14:paraId="1A7F376C">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2019年政研室工作重点：坚持严谨务实，以文辅政、坚持全员参与，调查研究扩面提质、坚持精准发力，改革攻坚扎实推进、坚持担当作为，协调财经研判工作</w:t>
      </w:r>
      <w:r>
        <w:rPr>
          <w:rFonts w:hint="eastAsia" w:ascii="宋体" w:hAnsi="宋体" w:eastAsia="宋体" w:cs="仿宋"/>
          <w:color w:val="FF0000"/>
          <w:sz w:val="28"/>
          <w:szCs w:val="28"/>
        </w:rPr>
        <w:t>。</w:t>
      </w:r>
    </w:p>
    <w:p w14:paraId="55377BC7">
      <w:pPr>
        <w:pStyle w:val="3"/>
        <w:spacing w:before="0" w:after="0" w:line="360" w:lineRule="auto"/>
        <w:ind w:firstLine="560" w:firstLineChars="200"/>
        <w:contextualSpacing/>
        <w:rPr>
          <w:rFonts w:ascii="宋体" w:hAnsi="宋体" w:eastAsia="宋体"/>
          <w:b w:val="0"/>
          <w:kern w:val="0"/>
          <w:sz w:val="28"/>
          <w:szCs w:val="28"/>
        </w:rPr>
      </w:pPr>
      <w:bookmarkStart w:id="4" w:name="_Toc35186497"/>
      <w:r>
        <w:rPr>
          <w:rFonts w:hint="eastAsia" w:ascii="宋体" w:hAnsi="宋体" w:eastAsia="宋体"/>
          <w:b w:val="0"/>
          <w:kern w:val="0"/>
          <w:sz w:val="28"/>
          <w:szCs w:val="28"/>
        </w:rPr>
        <w:t>（二）</w:t>
      </w:r>
      <w:r>
        <w:rPr>
          <w:rFonts w:ascii="宋体" w:hAnsi="宋体" w:eastAsia="宋体"/>
          <w:b w:val="0"/>
          <w:kern w:val="0"/>
          <w:sz w:val="28"/>
          <w:szCs w:val="28"/>
        </w:rPr>
        <w:t>部门整体支出规模</w:t>
      </w:r>
      <w:bookmarkEnd w:id="4"/>
    </w:p>
    <w:p w14:paraId="21EBDB4C">
      <w:pPr>
        <w:spacing w:line="360" w:lineRule="auto"/>
        <w:ind w:firstLine="840" w:firstLineChars="300"/>
        <w:rPr>
          <w:rFonts w:ascii="宋体" w:hAnsi="宋体" w:eastAsia="宋体" w:cs="仿宋"/>
          <w:sz w:val="28"/>
          <w:szCs w:val="28"/>
        </w:rPr>
      </w:pPr>
      <w:r>
        <w:rPr>
          <w:rFonts w:hint="eastAsia" w:ascii="宋体" w:hAnsi="宋体" w:eastAsia="宋体" w:cs="仿宋"/>
          <w:sz w:val="28"/>
          <w:szCs w:val="28"/>
        </w:rPr>
        <w:t>基本支出：指保障机构正常运转、完成支日常工作任务而发生的人员支出和公用支出。2019年我单位基本支出主要包括用于基本工资、津贴补贴等人员经费以及办公费、邮电费、印刷费、办公设备购置等日常公用经费。</w:t>
      </w:r>
    </w:p>
    <w:p w14:paraId="3F66B044">
      <w:pPr>
        <w:spacing w:line="360" w:lineRule="auto"/>
        <w:ind w:firstLine="840" w:firstLineChars="300"/>
        <w:rPr>
          <w:rFonts w:ascii="宋体" w:hAnsi="宋体" w:eastAsia="宋体" w:cs="仿宋"/>
          <w:sz w:val="28"/>
          <w:szCs w:val="28"/>
        </w:rPr>
      </w:pPr>
      <w:r>
        <w:rPr>
          <w:rFonts w:hint="eastAsia" w:ascii="宋体" w:hAnsi="宋体" w:eastAsia="宋体" w:cs="仿宋"/>
          <w:sz w:val="28"/>
          <w:szCs w:val="28"/>
        </w:rPr>
        <w:t>项目支出：指在基本支出之外为完成特定行政任务和事业发展目标所发生的支出。2019年我单位项目支出主要包括：改革办协调推进经费、《长沙通讯》印刷、编辑经费、调研决策咨询经费。</w:t>
      </w:r>
    </w:p>
    <w:p w14:paraId="6132FAE3">
      <w:pPr>
        <w:spacing w:line="360" w:lineRule="auto"/>
        <w:ind w:firstLine="840" w:firstLineChars="300"/>
        <w:rPr>
          <w:rFonts w:ascii="宋体" w:hAnsi="宋体" w:eastAsia="宋体" w:cs="仿宋"/>
          <w:sz w:val="28"/>
          <w:szCs w:val="28"/>
        </w:rPr>
      </w:pPr>
      <w:r>
        <w:rPr>
          <w:rFonts w:hint="eastAsia" w:ascii="宋体" w:hAnsi="宋体" w:eastAsia="宋体" w:cs="仿宋"/>
          <w:sz w:val="28"/>
          <w:szCs w:val="28"/>
        </w:rPr>
        <w:t>2019年初省财政批复部门预算为1039.76万元，年初结转和结余为21.20万元，年中追加经费116.63万元，全年指标合计为1177.59万元。2019年实际拨款数为1156.39万元，年末结转和结余21.20万元。</w:t>
      </w:r>
    </w:p>
    <w:p w14:paraId="2EA5716A">
      <w:pPr>
        <w:pStyle w:val="2"/>
        <w:spacing w:before="0" w:after="0" w:line="360" w:lineRule="auto"/>
        <w:ind w:firstLine="560" w:firstLineChars="200"/>
        <w:rPr>
          <w:rFonts w:ascii="宋体" w:hAnsi="宋体" w:eastAsia="宋体"/>
          <w:kern w:val="0"/>
          <w:sz w:val="28"/>
          <w:szCs w:val="28"/>
        </w:rPr>
      </w:pPr>
      <w:bookmarkStart w:id="5" w:name="_Toc35186498"/>
      <w:r>
        <w:rPr>
          <w:rFonts w:hint="eastAsia" w:ascii="宋体" w:hAnsi="宋体" w:eastAsia="宋体"/>
          <w:kern w:val="0"/>
          <w:sz w:val="28"/>
          <w:szCs w:val="28"/>
        </w:rPr>
        <w:t>二、部门整体支出管理及使用情况</w:t>
      </w:r>
      <w:bookmarkEnd w:id="5"/>
    </w:p>
    <w:p w14:paraId="2A820AD4">
      <w:pPr>
        <w:pStyle w:val="3"/>
        <w:spacing w:before="0" w:after="0" w:line="360" w:lineRule="auto"/>
        <w:ind w:firstLine="560" w:firstLineChars="200"/>
        <w:rPr>
          <w:rFonts w:ascii="宋体" w:hAnsi="宋体" w:eastAsia="宋体"/>
          <w:b w:val="0"/>
          <w:kern w:val="0"/>
          <w:sz w:val="28"/>
          <w:szCs w:val="28"/>
        </w:rPr>
      </w:pPr>
      <w:bookmarkStart w:id="6" w:name="_Toc35186499"/>
      <w:r>
        <w:rPr>
          <w:rFonts w:hint="eastAsia" w:ascii="宋体" w:hAnsi="宋体" w:eastAsia="宋体"/>
          <w:b w:val="0"/>
          <w:kern w:val="0"/>
          <w:sz w:val="28"/>
          <w:szCs w:val="28"/>
        </w:rPr>
        <w:t>（一）基本支出</w:t>
      </w:r>
      <w:bookmarkEnd w:id="6"/>
    </w:p>
    <w:p w14:paraId="37CCEE5E">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基本支出用于为保障机构正常运转、完成日常工作任务而发生的支出，包括人员经费和公用经费。</w:t>
      </w:r>
    </w:p>
    <w:p w14:paraId="27C56256">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2019年年初预算批复的基本支出为731.01万元，年中追加145.34万元（占年初预算批复数19.98%），上年结余指标2.26万元，全年指标合计878.61万元。预算包括：工资福利性支出</w:t>
      </w:r>
      <w:r>
        <w:rPr>
          <w:rFonts w:ascii="宋体" w:hAnsi="宋体" w:eastAsia="宋体" w:cs="仿宋"/>
          <w:sz w:val="28"/>
          <w:szCs w:val="28"/>
        </w:rPr>
        <w:t xml:space="preserve"> </w:t>
      </w:r>
      <w:r>
        <w:rPr>
          <w:rFonts w:hint="eastAsia" w:ascii="宋体" w:hAnsi="宋体" w:eastAsia="宋体" w:cs="仿宋"/>
          <w:sz w:val="28"/>
          <w:szCs w:val="28"/>
        </w:rPr>
        <w:t>602.48万元、商品和服务支出105.50万元、个人和家庭的补助23.03万元。实际拨款876.35万元，有2.26万元人员经费指标结余。</w:t>
      </w:r>
    </w:p>
    <w:p w14:paraId="1B9C0AFF">
      <w:pPr>
        <w:widowControl/>
        <w:snapToGrid w:val="0"/>
        <w:spacing w:line="360" w:lineRule="auto"/>
        <w:ind w:firstLine="560" w:firstLineChars="200"/>
        <w:jc w:val="left"/>
        <w:rPr>
          <w:rFonts w:ascii="宋体" w:hAnsi="宋体" w:eastAsia="宋体" w:cs="仿宋"/>
          <w:sz w:val="28"/>
          <w:szCs w:val="28"/>
        </w:rPr>
      </w:pPr>
      <w:r>
        <w:rPr>
          <w:rFonts w:hint="eastAsia" w:ascii="宋体" w:hAnsi="宋体" w:eastAsia="宋体" w:cs="仿宋"/>
          <w:sz w:val="28"/>
          <w:szCs w:val="28"/>
        </w:rPr>
        <w:t>2019年决算支出876.35元，其中：工资福利性支出750.45万元，商品和服务支出88.34万元、对个人和家庭的补助32.36万元、机关资本性支出5.20万元。决算基本支出总额超年初预算批复145.34万元，其中工资福利性支出超预算147.97万元，主要受发放文明单位奖等原因的影响。</w:t>
      </w:r>
    </w:p>
    <w:p w14:paraId="227BF68D">
      <w:pPr>
        <w:spacing w:line="360" w:lineRule="auto"/>
        <w:ind w:firstLine="560" w:firstLineChars="200"/>
        <w:rPr>
          <w:rFonts w:ascii="宋体" w:hAnsi="宋体" w:eastAsia="宋体"/>
          <w:sz w:val="28"/>
          <w:szCs w:val="28"/>
        </w:rPr>
      </w:pPr>
      <w:r>
        <w:rPr>
          <w:rFonts w:ascii="宋体" w:hAnsi="宋体" w:eastAsia="宋体" w:cs="仿宋"/>
          <w:sz w:val="28"/>
          <w:szCs w:val="28"/>
        </w:rPr>
        <w:t>　</w:t>
      </w:r>
      <w:r>
        <w:rPr>
          <w:rFonts w:hint="eastAsia" w:ascii="宋体" w:hAnsi="宋体" w:eastAsia="宋体" w:cs="仿宋"/>
          <w:sz w:val="28"/>
          <w:szCs w:val="28"/>
        </w:rPr>
        <w:t>2019年“三公”经费金额为21万元，其中：公务接待费12万元、因公出国（境）费0万元和公务用车购置和维护经费9万元（公务用车购置和维护经费0万元和公务用车运行费9万元）。政研室贯彻中央</w:t>
      </w:r>
      <w:bookmarkStart w:id="22" w:name="_GoBack"/>
      <w:bookmarkEnd w:id="22"/>
      <w:r>
        <w:rPr>
          <w:rFonts w:hint="eastAsia" w:ascii="宋体" w:hAnsi="宋体" w:eastAsia="宋体" w:cs="仿宋"/>
          <w:sz w:val="28"/>
          <w:szCs w:val="28"/>
        </w:rPr>
        <w:t>八项规定和厉行节约的要求，2019年“三公”经费比预算减少11.76万元，其中：</w:t>
      </w:r>
      <w:r>
        <w:rPr>
          <w:rFonts w:ascii="宋体" w:hAnsi="宋体" w:eastAsia="宋体" w:cs="仿宋"/>
          <w:sz w:val="28"/>
          <w:szCs w:val="28"/>
        </w:rPr>
        <w:t>公务接待费用</w:t>
      </w:r>
      <w:r>
        <w:rPr>
          <w:rFonts w:hint="eastAsia" w:ascii="宋体" w:hAnsi="宋体" w:eastAsia="宋体" w:cs="仿宋"/>
          <w:sz w:val="28"/>
          <w:szCs w:val="28"/>
        </w:rPr>
        <w:t>1.44万元，</w:t>
      </w:r>
      <w:r>
        <w:rPr>
          <w:rFonts w:ascii="宋体" w:hAnsi="宋体" w:eastAsia="宋体" w:cs="仿宋"/>
          <w:sz w:val="28"/>
          <w:szCs w:val="28"/>
        </w:rPr>
        <w:t>小于年初预算数，</w:t>
      </w:r>
      <w:r>
        <w:rPr>
          <w:rFonts w:hint="eastAsia" w:ascii="宋体" w:hAnsi="宋体" w:eastAsia="宋体" w:cs="仿宋"/>
          <w:sz w:val="28"/>
          <w:szCs w:val="28"/>
        </w:rPr>
        <w:t>小</w:t>
      </w:r>
      <w:r>
        <w:rPr>
          <w:rFonts w:ascii="宋体" w:hAnsi="宋体" w:eastAsia="宋体" w:cs="仿宋"/>
          <w:sz w:val="28"/>
          <w:szCs w:val="28"/>
        </w:rPr>
        <w:t>于上年决算数，</w:t>
      </w:r>
      <w:r>
        <w:rPr>
          <w:rFonts w:hint="eastAsia" w:ascii="宋体" w:hAnsi="宋体" w:eastAsia="宋体" w:cs="仿宋"/>
          <w:sz w:val="28"/>
          <w:szCs w:val="28"/>
        </w:rPr>
        <w:t>因本年度来长调研考察学习的接待人数较去年有所减少，故接待费用有所减少。2019年接待批次为 13  批，接待人数为77人，比18年减少接待17批次，减少接待人员 165   人；因公出国（境）费3.08万元；</w:t>
      </w:r>
      <w:r>
        <w:rPr>
          <w:rFonts w:ascii="宋体" w:hAnsi="宋体" w:eastAsia="宋体" w:cs="仿宋"/>
          <w:sz w:val="28"/>
          <w:szCs w:val="28"/>
        </w:rPr>
        <w:t>公务用车购置及运行维护费</w:t>
      </w:r>
      <w:r>
        <w:rPr>
          <w:rFonts w:hint="eastAsia" w:ascii="宋体" w:hAnsi="宋体" w:eastAsia="宋体" w:cs="仿宋"/>
          <w:sz w:val="28"/>
          <w:szCs w:val="28"/>
        </w:rPr>
        <w:t>4.72万元，小于年初预算数，小于上年决算数，</w:t>
      </w:r>
      <w:r>
        <w:rPr>
          <w:rFonts w:ascii="宋体" w:hAnsi="宋体" w:eastAsia="宋体" w:cs="仿宋"/>
          <w:sz w:val="28"/>
          <w:szCs w:val="28"/>
        </w:rPr>
        <w:t>主要因为单位对车辆油料费用的支出、维修费用的支出等方面进行了严格的规范，降低了部分消耗。</w:t>
      </w:r>
    </w:p>
    <w:p w14:paraId="0FB499AD">
      <w:pPr>
        <w:pStyle w:val="3"/>
        <w:spacing w:before="0" w:after="0" w:line="360" w:lineRule="auto"/>
        <w:ind w:firstLine="560" w:firstLineChars="200"/>
        <w:rPr>
          <w:rFonts w:ascii="宋体" w:hAnsi="宋体" w:eastAsia="宋体"/>
          <w:b w:val="0"/>
          <w:kern w:val="0"/>
          <w:sz w:val="28"/>
          <w:szCs w:val="28"/>
        </w:rPr>
      </w:pPr>
      <w:bookmarkStart w:id="7" w:name="_Toc35186500"/>
      <w:r>
        <w:rPr>
          <w:rFonts w:hint="eastAsia" w:ascii="宋体" w:hAnsi="宋体" w:eastAsia="宋体"/>
          <w:b w:val="0"/>
          <w:kern w:val="0"/>
          <w:sz w:val="28"/>
          <w:szCs w:val="28"/>
        </w:rPr>
        <w:t>（二）项目支出</w:t>
      </w:r>
      <w:bookmarkEnd w:id="7"/>
    </w:p>
    <w:p w14:paraId="27821A57">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项目支出是</w:t>
      </w:r>
      <w:r>
        <w:rPr>
          <w:rFonts w:ascii="宋体" w:hAnsi="宋体" w:eastAsia="宋体" w:cs="仿宋"/>
          <w:sz w:val="28"/>
          <w:szCs w:val="28"/>
        </w:rPr>
        <w:t>指在基本支出之外为完成特定行政任务和事业发展目标所发生的支出</w:t>
      </w:r>
      <w:r>
        <w:rPr>
          <w:rFonts w:hint="eastAsia" w:ascii="宋体" w:hAnsi="宋体" w:eastAsia="宋体" w:cs="仿宋"/>
          <w:sz w:val="28"/>
          <w:szCs w:val="28"/>
        </w:rPr>
        <w:t>。</w:t>
      </w:r>
    </w:p>
    <w:p w14:paraId="7E1014D0">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2019年年初预算批复的项目支出为308.75万元，年中减少28.71万元（占年初预算批复的9.30%），上年指标结余18.94万元，全年指标合计298.98万元。实际拨款280.03万元，另有18.94万元指标结余。</w:t>
      </w:r>
    </w:p>
    <w:p w14:paraId="28286A32">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2019年决算的项目支出为280.03万元，其中：工资福利性支出0.20万元、商品和服务支出272.44万元、对个人和家庭的补助3.00万元、机关资本性支出4.40万元。决算的项目支出比年初预算批复节约28.71万元，主要是商品和服务支出节约34.31万元。</w:t>
      </w:r>
    </w:p>
    <w:p w14:paraId="48CA8CA0">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制订了《中共长沙市委政策研究室制度汇编》，明确了经费审批权限及程序，经费预算管理、财务监督等。</w:t>
      </w:r>
    </w:p>
    <w:p w14:paraId="4163030F">
      <w:pPr>
        <w:pStyle w:val="2"/>
        <w:spacing w:before="0" w:after="0" w:line="360" w:lineRule="auto"/>
        <w:ind w:firstLine="560" w:firstLineChars="200"/>
        <w:rPr>
          <w:rFonts w:ascii="宋体" w:hAnsi="宋体" w:eastAsia="宋体" w:cs="仿宋"/>
          <w:kern w:val="2"/>
          <w:sz w:val="28"/>
          <w:szCs w:val="28"/>
        </w:rPr>
      </w:pPr>
      <w:bookmarkStart w:id="8" w:name="_Toc35186501"/>
      <w:r>
        <w:rPr>
          <w:rFonts w:hint="eastAsia" w:ascii="宋体" w:hAnsi="宋体" w:eastAsia="宋体" w:cs="仿宋"/>
          <w:kern w:val="2"/>
          <w:sz w:val="28"/>
          <w:szCs w:val="28"/>
        </w:rPr>
        <w:t>三、资产管理情况</w:t>
      </w:r>
      <w:bookmarkEnd w:id="8"/>
    </w:p>
    <w:p w14:paraId="174411A3">
      <w:pPr>
        <w:spacing w:line="360" w:lineRule="auto"/>
        <w:ind w:firstLine="640" w:firstLineChars="200"/>
        <w:rPr>
          <w:rFonts w:asciiTheme="minorEastAsia" w:hAnsiTheme="minorEastAsia"/>
          <w:sz w:val="32"/>
          <w:szCs w:val="32"/>
        </w:rPr>
      </w:pPr>
      <w:r>
        <w:rPr>
          <w:rFonts w:hint="eastAsia" w:asciiTheme="minorEastAsia" w:hAnsiTheme="minorEastAsia"/>
          <w:sz w:val="32"/>
          <w:szCs w:val="32"/>
        </w:rPr>
        <w:t>2019年固定资产总额142.40万元，累计折旧96.23万元，净值46.17万元。</w:t>
      </w:r>
    </w:p>
    <w:p w14:paraId="30391A74">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2019年公务用车购置数为0辆，公务用车保有量为3辆，2019年决算公务用车账面净值4.92万元，其中原值49.60万元，累计折旧44.68万元；办公设备等其他固定资产年初109.16万元，本年增加10.21万，本年减少26.57万元，已按《市委政研室固定资产增减变动流程》进行处理，其他固定资产年末净值41.25万元，其中原值92.80万元，累计折旧51.55万元。</w:t>
      </w:r>
    </w:p>
    <w:p w14:paraId="7CD8DB04">
      <w:pPr>
        <w:spacing w:line="360" w:lineRule="auto"/>
        <w:ind w:firstLine="640" w:firstLineChars="200"/>
        <w:rPr>
          <w:rFonts w:asciiTheme="minorEastAsia" w:hAnsiTheme="minorEastAsia"/>
          <w:sz w:val="32"/>
          <w:szCs w:val="32"/>
        </w:rPr>
      </w:pPr>
      <w:r>
        <w:rPr>
          <w:rFonts w:hint="eastAsia" w:asciiTheme="minorEastAsia" w:hAnsiTheme="minorEastAsia"/>
          <w:sz w:val="32"/>
          <w:szCs w:val="32"/>
        </w:rPr>
        <w:t>2019年固定资产总额109.85万元，累计折旧101.61万元，净值8.24万元，明细如下：</w:t>
      </w:r>
    </w:p>
    <w:p w14:paraId="255AB7D1">
      <w:pPr>
        <w:spacing w:line="360" w:lineRule="auto"/>
        <w:ind w:firstLine="640" w:firstLineChars="200"/>
        <w:rPr>
          <w:rFonts w:asciiTheme="minorEastAsia" w:hAnsiTheme="minorEastAsia"/>
          <w:sz w:val="32"/>
          <w:szCs w:val="32"/>
        </w:rPr>
      </w:pPr>
      <w:r>
        <w:rPr>
          <w:rFonts w:hint="eastAsia" w:asciiTheme="minorEastAsia" w:hAnsiTheme="minorEastAsia"/>
          <w:sz w:val="32"/>
          <w:szCs w:val="32"/>
        </w:rPr>
        <w:t>2019年公务用车购置数为0辆，公务用车保有量为1 辆，2019年决算公务用车账面净值0万元，其中原值 19.38万元，折旧19.38万元；电子设备等通用设备净值年未净值1.72万元，其中原值69.19万元，折旧67.47万元，其中本年增加 0.64万(其中原值0.64万元)且变动已按《固定资产增减变动流程》进行处理；划分为专用设备年末净值0.51万元，其中原值4.40万元，累计折旧3.89万元；家具等其他资产年末净值6.01万元，其中原值16.88万元，累计折旧10.87万元。</w:t>
      </w:r>
    </w:p>
    <w:p w14:paraId="01C0E496">
      <w:pPr>
        <w:spacing w:line="360" w:lineRule="auto"/>
        <w:ind w:firstLine="560" w:firstLineChars="200"/>
        <w:rPr>
          <w:rFonts w:ascii="宋体" w:hAnsi="宋体" w:eastAsia="宋体" w:cs="仿宋"/>
          <w:sz w:val="28"/>
          <w:szCs w:val="28"/>
        </w:rPr>
      </w:pPr>
    </w:p>
    <w:p w14:paraId="5FA37D03">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完善固定资产档案，年底对固定资产进行了一次全面清查，按照《中共长沙市委政策研究室制度汇编》、《内部控制评价手册》对资产的加强管理与监督。</w:t>
      </w:r>
    </w:p>
    <w:p w14:paraId="61AD0C0C">
      <w:pPr>
        <w:pStyle w:val="2"/>
        <w:spacing w:before="0" w:after="0" w:line="360" w:lineRule="auto"/>
        <w:ind w:firstLine="560" w:firstLineChars="200"/>
        <w:rPr>
          <w:rFonts w:ascii="宋体" w:hAnsi="宋体" w:eastAsia="宋体"/>
          <w:kern w:val="0"/>
          <w:sz w:val="28"/>
          <w:szCs w:val="28"/>
        </w:rPr>
      </w:pPr>
      <w:bookmarkStart w:id="9" w:name="_Toc35186502"/>
      <w:r>
        <w:rPr>
          <w:rFonts w:hint="eastAsia" w:ascii="宋体" w:hAnsi="宋体" w:eastAsia="宋体"/>
          <w:kern w:val="0"/>
          <w:sz w:val="28"/>
          <w:szCs w:val="28"/>
        </w:rPr>
        <w:t>四、部门整体支出绩效情况</w:t>
      </w:r>
      <w:bookmarkEnd w:id="9"/>
    </w:p>
    <w:p w14:paraId="4702C905">
      <w:pPr>
        <w:widowControl/>
        <w:snapToGrid w:val="0"/>
        <w:spacing w:line="360" w:lineRule="auto"/>
        <w:ind w:firstLine="560" w:firstLineChars="200"/>
        <w:jc w:val="left"/>
        <w:rPr>
          <w:rFonts w:ascii="宋体" w:hAnsi="宋体" w:eastAsia="宋体"/>
          <w:sz w:val="28"/>
          <w:szCs w:val="28"/>
        </w:rPr>
      </w:pPr>
      <w:r>
        <w:rPr>
          <w:rFonts w:hint="eastAsia" w:ascii="宋体" w:hAnsi="宋体" w:eastAsia="宋体"/>
          <w:sz w:val="28"/>
          <w:szCs w:val="28"/>
        </w:rPr>
        <w:t>在市委的领导下，各处室根据2019年年度预算及相关工作计划及重点，结合党的群众路线教育实践活动，认真履行职责，较好地完成了年初确定的各项工作任务，为全市深化改革作出了新的贡献，根据《部门整体支出绩效评价指标》评分，得分94.10分（详见附表）。主要绩效如下：</w:t>
      </w:r>
    </w:p>
    <w:p w14:paraId="4332C7A5">
      <w:pPr>
        <w:pStyle w:val="3"/>
        <w:spacing w:before="0" w:after="0" w:line="360" w:lineRule="auto"/>
        <w:ind w:firstLine="560" w:firstLineChars="200"/>
        <w:rPr>
          <w:rFonts w:ascii="宋体" w:hAnsi="宋体" w:eastAsia="宋体"/>
          <w:b w:val="0"/>
          <w:kern w:val="0"/>
          <w:sz w:val="28"/>
          <w:szCs w:val="28"/>
        </w:rPr>
      </w:pPr>
      <w:bookmarkStart w:id="10" w:name="_Toc35186503"/>
      <w:r>
        <w:rPr>
          <w:rFonts w:hint="eastAsia" w:ascii="宋体" w:hAnsi="宋体" w:eastAsia="宋体"/>
          <w:b w:val="0"/>
          <w:kern w:val="0"/>
          <w:sz w:val="28"/>
          <w:szCs w:val="28"/>
        </w:rPr>
        <w:t>（一）坚持严谨务实，以文辅政成效显著</w:t>
      </w:r>
      <w:bookmarkEnd w:id="10"/>
    </w:p>
    <w:p w14:paraId="19015C4D">
      <w:pPr>
        <w:spacing w:line="600" w:lineRule="exact"/>
        <w:ind w:firstLine="560" w:firstLineChars="200"/>
        <w:rPr>
          <w:rFonts w:ascii="宋体" w:hAnsi="宋体" w:eastAsia="宋体"/>
          <w:sz w:val="28"/>
          <w:szCs w:val="28"/>
        </w:rPr>
      </w:pPr>
      <w:r>
        <w:rPr>
          <w:rFonts w:hint="eastAsia" w:ascii="宋体" w:hAnsi="宋体" w:eastAsia="宋体"/>
          <w:sz w:val="28"/>
          <w:szCs w:val="28"/>
        </w:rPr>
        <w:t>坚持政治引领，发扬工匠精神，下足“绣花功夫”，按照“全室写稿、各司其职、协同协作”的思路抓统筹，推动各处室在专业类文稿上各显其长、在综合类文稿上合力攻坚，高质量起草领导讲话、工作汇报、理论文章、政策文件等300余篇（个）。</w:t>
      </w:r>
    </w:p>
    <w:p w14:paraId="43C7B841">
      <w:pPr>
        <w:pStyle w:val="3"/>
        <w:spacing w:before="0" w:after="0" w:line="360" w:lineRule="auto"/>
        <w:ind w:firstLine="560" w:firstLineChars="200"/>
        <w:rPr>
          <w:rFonts w:ascii="宋体" w:hAnsi="宋体" w:eastAsia="宋体"/>
          <w:b w:val="0"/>
          <w:kern w:val="0"/>
          <w:sz w:val="28"/>
          <w:szCs w:val="28"/>
        </w:rPr>
      </w:pPr>
      <w:bookmarkStart w:id="11" w:name="_Toc35186504"/>
      <w:r>
        <w:rPr>
          <w:rFonts w:hint="eastAsia" w:ascii="宋体" w:hAnsi="宋体" w:eastAsia="宋体"/>
          <w:b w:val="0"/>
          <w:kern w:val="0"/>
          <w:sz w:val="28"/>
          <w:szCs w:val="28"/>
        </w:rPr>
        <w:t>（二）坚持全员参与，调查研究扩面提质</w:t>
      </w:r>
      <w:bookmarkEnd w:id="11"/>
    </w:p>
    <w:p w14:paraId="42EC375C">
      <w:pPr>
        <w:spacing w:line="600" w:lineRule="exact"/>
        <w:ind w:firstLine="560" w:firstLineChars="200"/>
        <w:rPr>
          <w:rFonts w:ascii="宋体" w:hAnsi="宋体" w:eastAsia="宋体"/>
          <w:sz w:val="28"/>
          <w:szCs w:val="28"/>
        </w:rPr>
      </w:pPr>
      <w:r>
        <w:rPr>
          <w:rFonts w:hint="eastAsia" w:ascii="宋体" w:hAnsi="宋体" w:eastAsia="宋体"/>
          <w:sz w:val="28"/>
          <w:szCs w:val="28"/>
        </w:rPr>
        <w:t>围绕市委重大决策和全市中心工作，坚持全员参与、质量优先，7篇调研成果得到市委、市政府主要领导批示。</w:t>
      </w:r>
    </w:p>
    <w:p w14:paraId="1612D4FA">
      <w:pPr>
        <w:spacing w:line="600" w:lineRule="exact"/>
        <w:ind w:firstLine="560" w:firstLineChars="200"/>
        <w:rPr>
          <w:rFonts w:ascii="宋体" w:hAnsi="宋体" w:eastAsia="宋体"/>
          <w:sz w:val="28"/>
          <w:szCs w:val="28"/>
        </w:rPr>
      </w:pPr>
      <w:r>
        <w:rPr>
          <w:rFonts w:hint="eastAsia" w:ascii="宋体" w:hAnsi="宋体" w:eastAsia="宋体"/>
          <w:sz w:val="28"/>
          <w:szCs w:val="28"/>
        </w:rPr>
        <w:t>(1)调研主题覆盖面更广。开展“全室搞调研”活动，坚持班子成员以上率下、所有处室认领任务、“四不两直”开展课题，加强探索性调研和体验式调研，将课题延伸至政府化债、市属国企改革、产业基金、应用场景、“三资”管理、视频文创产业发展、基层基础建设等方面，涵盖政治、经济、改革、文化、民生等各领域。</w:t>
      </w:r>
    </w:p>
    <w:p w14:paraId="5AAA577E">
      <w:pPr>
        <w:spacing w:line="600" w:lineRule="exact"/>
        <w:ind w:firstLine="560" w:firstLineChars="200"/>
        <w:rPr>
          <w:rFonts w:ascii="宋体" w:hAnsi="宋体" w:eastAsia="宋体"/>
          <w:sz w:val="28"/>
          <w:szCs w:val="28"/>
        </w:rPr>
      </w:pPr>
      <w:r>
        <w:rPr>
          <w:rFonts w:hint="eastAsia" w:ascii="宋体" w:hAnsi="宋体" w:eastAsia="宋体"/>
          <w:sz w:val="28"/>
          <w:szCs w:val="28"/>
        </w:rPr>
        <w:t>(2)调研报告针对性更强。紧盯发展所需、改革所急、群众所盼，深入调查研究,提出改进思路。针对补短板工作，形成了《关于加快打造区域性国际航空枢纽推进国家交通物流中心建设的调研》《关于长沙推进高水平开放的调研与思考》《“长沙现代物流业”课题研究报告》等报告；针对“营商环境优化年”活动，聚焦“放管服”改革、行政审批效率等重点，形成了《2019年优化营商环境机制创新压缩企业开办时间的调研报告》；针对制造业高质量发展，组织开展应用场景、产业基金等专题调研，形成了《关于设立长沙智能网联汽车产业基金的调研与思考》等报告。</w:t>
      </w:r>
    </w:p>
    <w:p w14:paraId="6A40D75A">
      <w:pPr>
        <w:spacing w:line="600" w:lineRule="exact"/>
        <w:ind w:firstLine="560" w:firstLineChars="200"/>
        <w:rPr>
          <w:rFonts w:ascii="宋体" w:hAnsi="宋体" w:eastAsia="宋体"/>
          <w:sz w:val="28"/>
          <w:szCs w:val="28"/>
        </w:rPr>
      </w:pPr>
      <w:r>
        <w:rPr>
          <w:rFonts w:hint="eastAsia" w:ascii="宋体" w:hAnsi="宋体" w:eastAsia="宋体"/>
          <w:sz w:val="28"/>
          <w:szCs w:val="28"/>
        </w:rPr>
        <w:t>(3)调研成果转化率更高。突出目标导向和结果导向，把成果转化为促进工作开展的具体举措。《以化解债务风险为底线，以提升效益为抓手，助推长沙经济高质量发展》调研报告有力促进了“化债”“盘活三资”工作，成为市委经济工作最大亮点之一；四小时航空经济圈调研成果得到各方关注，将直接影响长沙“十四五”规划编制工作；《进一步强化抓基层强基础的鲜明导向主题教育专题调研报告》相关经验，为创新开展城市特殊困难群体帮扶工作探索了有效路径；《长沙加快培育新动能发展新经济研究报告》获市委主要领导批示，有效引领助推了全市现代经济体系建设；《全力打造具有长沙特色的人工智能产业高地调研报告》刊发于《湖南工作》，为全市乃至全省智能制造发展提供了重要参考。</w:t>
      </w:r>
    </w:p>
    <w:p w14:paraId="3C056A00">
      <w:pPr>
        <w:pStyle w:val="3"/>
        <w:spacing w:before="0" w:after="0" w:line="360" w:lineRule="auto"/>
        <w:ind w:firstLine="560" w:firstLineChars="200"/>
        <w:rPr>
          <w:rFonts w:ascii="宋体" w:hAnsi="宋体" w:eastAsia="宋体"/>
          <w:b w:val="0"/>
          <w:kern w:val="0"/>
          <w:sz w:val="28"/>
          <w:szCs w:val="28"/>
        </w:rPr>
      </w:pPr>
      <w:bookmarkStart w:id="12" w:name="_Toc35186505"/>
      <w:r>
        <w:rPr>
          <w:rFonts w:hint="eastAsia" w:ascii="宋体" w:hAnsi="宋体" w:eastAsia="宋体"/>
          <w:b w:val="0"/>
          <w:kern w:val="0"/>
          <w:sz w:val="28"/>
          <w:szCs w:val="28"/>
        </w:rPr>
        <w:t>（三）坚持精准发力，改革攻坚扎实推进</w:t>
      </w:r>
      <w:bookmarkEnd w:id="12"/>
    </w:p>
    <w:p w14:paraId="393EEADD">
      <w:pPr>
        <w:spacing w:line="600" w:lineRule="exact"/>
        <w:ind w:firstLine="560" w:firstLineChars="200"/>
        <w:rPr>
          <w:rFonts w:ascii="仿宋" w:hAnsi="仿宋" w:eastAsia="仿宋" w:cs="仿宋"/>
          <w:sz w:val="36"/>
          <w:szCs w:val="36"/>
        </w:rPr>
      </w:pPr>
      <w:r>
        <w:rPr>
          <w:rFonts w:hint="eastAsia" w:ascii="宋体" w:hAnsi="宋体" w:eastAsia="宋体"/>
          <w:sz w:val="28"/>
          <w:szCs w:val="28"/>
        </w:rPr>
        <w:t>立足综合统筹、参谋服务、督察落实、联络协调四项基本职能，针对问题瓶颈、各个环节精准发力，确保了改革工作谋划有方、统筹有力、推进有序、落地有效</w:t>
      </w:r>
      <w:r>
        <w:rPr>
          <w:rFonts w:hint="eastAsia" w:ascii="仿宋" w:hAnsi="仿宋" w:eastAsia="仿宋" w:cs="仿宋"/>
          <w:sz w:val="36"/>
          <w:szCs w:val="36"/>
        </w:rPr>
        <w:t>。</w:t>
      </w:r>
    </w:p>
    <w:p w14:paraId="7DE49E87">
      <w:pPr>
        <w:spacing w:line="600" w:lineRule="exact"/>
        <w:ind w:firstLine="684"/>
        <w:rPr>
          <w:rFonts w:ascii="宋体" w:hAnsi="宋体" w:eastAsia="宋体"/>
          <w:sz w:val="28"/>
          <w:szCs w:val="28"/>
        </w:rPr>
      </w:pPr>
      <w:r>
        <w:rPr>
          <w:rFonts w:hint="eastAsia" w:ascii="宋体" w:hAnsi="宋体" w:eastAsia="宋体"/>
          <w:sz w:val="28"/>
          <w:szCs w:val="28"/>
        </w:rPr>
        <w:t>(1)聚焦“小切口”抓谋划。以市委主要领导提出的“小切口、接地气”为基本遵循，针对上级部署的重点、长沙发展的焦点、民生领域的痛点，明确30项统筹实施改革、10项重点攻坚改革、41项持续深化改革、13项基层探索改革，实行清单化管理，做到了既兼顾面上又突出点上、既持续深化又接续探索。</w:t>
      </w:r>
    </w:p>
    <w:p w14:paraId="6577E8D0">
      <w:pPr>
        <w:spacing w:line="600" w:lineRule="exact"/>
        <w:ind w:firstLine="560" w:firstLineChars="200"/>
        <w:rPr>
          <w:rFonts w:ascii="宋体" w:hAnsi="宋体" w:eastAsia="宋体"/>
          <w:sz w:val="28"/>
          <w:szCs w:val="28"/>
        </w:rPr>
      </w:pPr>
      <w:r>
        <w:rPr>
          <w:rFonts w:hint="eastAsia" w:ascii="宋体" w:hAnsi="宋体" w:eastAsia="宋体"/>
          <w:sz w:val="28"/>
          <w:szCs w:val="28"/>
        </w:rPr>
        <w:t>(2)紧盯“全过程”抓统筹。依托改革过程管理信息平台，实现改革任务、进度和效果台账化、痕迹化、可视化、系统化管理，做到全链条责任传导、全过程进度监测、全周期成效评估。梳理中央深改委（组）423项改革方案在长落实情况，及市委常委会、市政府常务会审议通过的369项改革方案，查漏补缺成效显著。</w:t>
      </w:r>
    </w:p>
    <w:p w14:paraId="2B8363CA">
      <w:pPr>
        <w:spacing w:line="600" w:lineRule="exact"/>
        <w:ind w:firstLine="560" w:firstLineChars="200"/>
        <w:rPr>
          <w:rFonts w:ascii="宋体" w:hAnsi="宋体" w:eastAsia="宋体"/>
          <w:sz w:val="28"/>
          <w:szCs w:val="28"/>
        </w:rPr>
      </w:pPr>
      <w:r>
        <w:rPr>
          <w:rFonts w:hint="eastAsia" w:ascii="宋体" w:hAnsi="宋体" w:eastAsia="宋体"/>
          <w:sz w:val="28"/>
          <w:szCs w:val="28"/>
        </w:rPr>
        <w:t>(3)坚持“强督察”抓落实。对市委、市政府主要领导关注的重点改革开展专项督察，逐项编撰专报。向15位改革任务责任市领导发提示函，每月发布重点事项进展成效，印发改革任务进展通报6期，第6期获市政府主要领导批示。对具体任务看成效、找问题、提建议，多次调度督导“优化营商环境机制创新”等改革，相关文件得到市政府主要领导批示，加速了改革任务推进。</w:t>
      </w:r>
    </w:p>
    <w:p w14:paraId="0E3134BA">
      <w:pPr>
        <w:spacing w:line="600" w:lineRule="exact"/>
        <w:ind w:firstLine="560" w:firstLineChars="200"/>
        <w:rPr>
          <w:rFonts w:ascii="宋体" w:hAnsi="宋体" w:eastAsia="宋体"/>
          <w:sz w:val="28"/>
          <w:szCs w:val="28"/>
        </w:rPr>
      </w:pPr>
      <w:r>
        <w:rPr>
          <w:rFonts w:hint="eastAsia" w:ascii="宋体" w:hAnsi="宋体" w:eastAsia="宋体"/>
          <w:sz w:val="28"/>
          <w:szCs w:val="28"/>
        </w:rPr>
        <w:t>(4)围绕“高质量”抓提升。发掘整理全市改革亮点，印发长沙改革交流25期，包容普惠创新、“一统三化”基层治理改革等经验得到中央改革办、“学习强国”、全国优化营商环境经验交流会、湖南《新闻联播》等推介,《长沙用“改革锦囊”为高质量发展赋能》相关经验在全面践行新发展理念实现高质量发展高层研讨会上作专题发言。收集提升改革案例，长沙改革“案例库”案例增加到334个，《长沙市大力推进城市基层党建体制机制创新》等4篇案例被收录至《中国改革年鉴》，再次在中国改革年会上荣获年度十大案例，《实施“四项再造”，充分发挥街道社区党组织领导核心作用》等5个改革案例荣获全国城市基层党建创新最佳案例和优秀案例。</w:t>
      </w:r>
    </w:p>
    <w:p w14:paraId="1BC19E07">
      <w:pPr>
        <w:pStyle w:val="3"/>
        <w:spacing w:before="0" w:after="0" w:line="360" w:lineRule="auto"/>
        <w:ind w:firstLine="560" w:firstLineChars="200"/>
        <w:rPr>
          <w:rFonts w:ascii="宋体" w:hAnsi="宋体" w:eastAsia="宋体"/>
          <w:b w:val="0"/>
          <w:kern w:val="0"/>
          <w:sz w:val="28"/>
          <w:szCs w:val="28"/>
        </w:rPr>
      </w:pPr>
      <w:bookmarkStart w:id="13" w:name="_Toc35186506"/>
      <w:r>
        <w:rPr>
          <w:rFonts w:hint="eastAsia" w:ascii="宋体" w:hAnsi="宋体" w:eastAsia="宋体"/>
          <w:b w:val="0"/>
          <w:kern w:val="0"/>
          <w:sz w:val="28"/>
          <w:szCs w:val="28"/>
        </w:rPr>
        <w:t>（四）坚持担当作为，财经研判初见成效</w:t>
      </w:r>
      <w:bookmarkEnd w:id="13"/>
    </w:p>
    <w:p w14:paraId="0A977FE0">
      <w:pPr>
        <w:spacing w:line="600" w:lineRule="exact"/>
        <w:ind w:firstLine="560" w:firstLineChars="200"/>
        <w:rPr>
          <w:rFonts w:ascii="宋体" w:hAnsi="宋体" w:eastAsia="宋体"/>
          <w:sz w:val="28"/>
          <w:szCs w:val="28"/>
        </w:rPr>
      </w:pPr>
      <w:r>
        <w:rPr>
          <w:rFonts w:hint="eastAsia" w:ascii="宋体" w:hAnsi="宋体" w:eastAsia="宋体"/>
          <w:sz w:val="28"/>
          <w:szCs w:val="28"/>
        </w:rPr>
        <w:t>财经研判协调工作是我室机构改革后新增职能，我室肩负崭新使命，克服编制不足和力量较弱等困难，切实推动财经协调扎实起步、取得进展。</w:t>
      </w:r>
    </w:p>
    <w:p w14:paraId="750C9130">
      <w:pPr>
        <w:spacing w:line="600" w:lineRule="exact"/>
        <w:ind w:firstLine="560" w:firstLineChars="200"/>
        <w:rPr>
          <w:rFonts w:ascii="宋体" w:hAnsi="宋体" w:eastAsia="宋体"/>
          <w:sz w:val="28"/>
          <w:szCs w:val="28"/>
        </w:rPr>
      </w:pPr>
      <w:r>
        <w:rPr>
          <w:rFonts w:hint="eastAsia" w:ascii="宋体" w:hAnsi="宋体" w:eastAsia="宋体"/>
          <w:sz w:val="28"/>
          <w:szCs w:val="28"/>
        </w:rPr>
        <w:t>(1)固本强基，规范机构运转。准确把握财经委及财办的职能定位，新设立财经处，建立健全《财经委工作规则》《财办工作细则》等制度。建立协同推进机制，统筹协调市财政局等市直部门和各区县（市），常态组织交流研讨和财经调研，充分调动各方积极性，推动工作规范化、常态化、制度化。</w:t>
      </w:r>
    </w:p>
    <w:p w14:paraId="088D21CD">
      <w:pPr>
        <w:spacing w:line="600" w:lineRule="exact"/>
        <w:ind w:firstLine="560" w:firstLineChars="200"/>
        <w:rPr>
          <w:rFonts w:ascii="宋体" w:hAnsi="宋体" w:eastAsia="宋体"/>
          <w:sz w:val="28"/>
          <w:szCs w:val="28"/>
        </w:rPr>
      </w:pPr>
      <w:r>
        <w:rPr>
          <w:rFonts w:hint="eastAsia" w:ascii="宋体" w:hAnsi="宋体" w:eastAsia="宋体"/>
          <w:sz w:val="28"/>
          <w:szCs w:val="28"/>
        </w:rPr>
        <w:t>(2)认真履职，推动任务落实。定期组织会议、进行汇报、提出建议，为财经委谋全局、抓大事当好参谋助手。组织服务2次市委财经委工作会议，谋划定调明年全市经济工作目标任务、指标体系、战略规划、工作重点等，得到市委主要领导充分认可。大力督促《落实减税降费政策》等四个财税专项工作方案落实，精心筹备盘活“三资”工作调度会有关材料，为经济领域重点战略实施提供了支撑。积极对接省委财经办，报送相关材料16篇，配合开展专项调研7次。</w:t>
      </w:r>
    </w:p>
    <w:p w14:paraId="35FFFD7B">
      <w:pPr>
        <w:spacing w:line="600" w:lineRule="exact"/>
        <w:ind w:firstLine="560" w:firstLineChars="200"/>
        <w:rPr>
          <w:rFonts w:ascii="宋体" w:hAnsi="宋体" w:eastAsia="宋体"/>
          <w:sz w:val="28"/>
          <w:szCs w:val="28"/>
        </w:rPr>
      </w:pPr>
      <w:r>
        <w:rPr>
          <w:rFonts w:hint="eastAsia" w:ascii="宋体" w:hAnsi="宋体" w:eastAsia="宋体"/>
          <w:sz w:val="28"/>
          <w:szCs w:val="28"/>
        </w:rPr>
        <w:t>(3)积极进取，提升工作水平。就省级考核指标与省委财经办沟通对接，促成部分指标阶段性调整，进一步调优了财经考核“指挥棒”，形成了更加科学的发展导向。针对市第十三次党代会目标特别是财经领域指标完成情况，进行全面摸底，形成系统报告。围绕制造业发展，建立与武汉、成都等城市的跟踪对比分析机制，形成《2019年前三季度制造业12城跟踪对比分析报告》，为市委制定相关战略提供了重要参考。</w:t>
      </w:r>
    </w:p>
    <w:p w14:paraId="1D679739">
      <w:pPr>
        <w:pStyle w:val="3"/>
        <w:spacing w:before="0" w:after="0" w:line="360" w:lineRule="auto"/>
        <w:ind w:firstLine="560" w:firstLineChars="200"/>
        <w:rPr>
          <w:rFonts w:ascii="宋体" w:hAnsi="宋体" w:eastAsia="宋体"/>
          <w:b w:val="0"/>
          <w:kern w:val="0"/>
          <w:sz w:val="28"/>
          <w:szCs w:val="28"/>
        </w:rPr>
      </w:pPr>
      <w:bookmarkStart w:id="14" w:name="_Toc35186507"/>
      <w:r>
        <w:rPr>
          <w:rFonts w:hint="eastAsia" w:ascii="宋体" w:hAnsi="宋体" w:eastAsia="宋体"/>
          <w:b w:val="0"/>
          <w:kern w:val="0"/>
          <w:sz w:val="28"/>
          <w:szCs w:val="28"/>
        </w:rPr>
        <w:t>（五）坚持专业专精，资政载体更加优质</w:t>
      </w:r>
      <w:bookmarkEnd w:id="14"/>
    </w:p>
    <w:p w14:paraId="5E717AC8">
      <w:pPr>
        <w:spacing w:line="600" w:lineRule="exact"/>
        <w:ind w:firstLine="560" w:firstLineChars="200"/>
        <w:rPr>
          <w:rFonts w:ascii="宋体" w:hAnsi="宋体" w:eastAsia="宋体"/>
          <w:sz w:val="28"/>
          <w:szCs w:val="28"/>
        </w:rPr>
      </w:pPr>
      <w:r>
        <w:rPr>
          <w:rFonts w:hint="eastAsia" w:ascii="宋体" w:hAnsi="宋体" w:eastAsia="宋体"/>
          <w:sz w:val="28"/>
          <w:szCs w:val="28"/>
        </w:rPr>
        <w:t>不断提升各类刊物平台的专业专精程度和质量效用，为参谋资政提供各具特色的高质量载体。</w:t>
      </w:r>
    </w:p>
    <w:p w14:paraId="2631DB4C">
      <w:pPr>
        <w:spacing w:line="600" w:lineRule="exact"/>
        <w:ind w:firstLine="560" w:firstLineChars="200"/>
        <w:rPr>
          <w:rFonts w:ascii="宋体" w:hAnsi="宋体" w:eastAsia="宋体"/>
          <w:sz w:val="28"/>
          <w:szCs w:val="28"/>
        </w:rPr>
      </w:pPr>
      <w:r>
        <w:rPr>
          <w:rFonts w:hint="eastAsia" w:ascii="宋体" w:hAnsi="宋体" w:eastAsia="宋体"/>
          <w:sz w:val="28"/>
          <w:szCs w:val="28"/>
        </w:rPr>
        <w:t>(1)《长沙通讯》走在全国前列。秉持“内容为王、以质取胜”的理念，广泛传播党委政府声音，大力推介基层典型经验，进一步提升刊物品质和特色，连续15年获评“全国十佳城市党刊”。坚持每期一主题、一策划，精心推出《营商就是赢未来》《改革再出发》《奋力开创制造业高质量发展新局面》《不忘初心</w:t>
      </w:r>
      <w:r>
        <w:rPr>
          <w:rFonts w:hint="eastAsia" w:ascii="宋体" w:hAnsi="宋体" w:eastAsia="宋体"/>
          <w:sz w:val="28"/>
          <w:szCs w:val="28"/>
          <w:lang w:eastAsia="zh-CN"/>
        </w:rPr>
        <w:t>、</w:t>
      </w:r>
      <w:r>
        <w:rPr>
          <w:rFonts w:hint="eastAsia" w:ascii="宋体" w:hAnsi="宋体" w:eastAsia="宋体"/>
          <w:sz w:val="28"/>
          <w:szCs w:val="28"/>
        </w:rPr>
        <w:t>牢记使命》等12个主题，做到了策划编印有高度、有深度、有温度。</w:t>
      </w:r>
    </w:p>
    <w:p w14:paraId="7DB337FD">
      <w:pPr>
        <w:spacing w:line="600" w:lineRule="exact"/>
        <w:ind w:firstLine="560" w:firstLineChars="200"/>
        <w:rPr>
          <w:rFonts w:ascii="宋体" w:hAnsi="宋体" w:eastAsia="宋体"/>
          <w:sz w:val="28"/>
          <w:szCs w:val="28"/>
        </w:rPr>
      </w:pPr>
      <w:r>
        <w:rPr>
          <w:rFonts w:hint="eastAsia" w:ascii="宋体" w:hAnsi="宋体" w:eastAsia="宋体"/>
          <w:sz w:val="28"/>
          <w:szCs w:val="28"/>
        </w:rPr>
        <w:t>(2)《长沙调研》产生广泛影响。聚焦“两个年”、培育新动能发展新经济、城乡公共服务、党的建设等领域，坚持自主调研和联合调研相结合，面向全市各级各部门、相关决策咨询机构征集优秀调研文稿，全年编发12期，为调研成果推介和转化提供了有效渠道，刊物影响力、推动力不断提升。</w:t>
      </w:r>
    </w:p>
    <w:p w14:paraId="53FEDF9D">
      <w:pPr>
        <w:spacing w:line="600" w:lineRule="exact"/>
        <w:ind w:firstLine="560" w:firstLineChars="200"/>
        <w:rPr>
          <w:rFonts w:ascii="宋体" w:hAnsi="宋体" w:eastAsia="宋体"/>
          <w:sz w:val="28"/>
          <w:szCs w:val="28"/>
        </w:rPr>
      </w:pPr>
      <w:r>
        <w:rPr>
          <w:rFonts w:hint="eastAsia" w:ascii="宋体" w:hAnsi="宋体" w:eastAsia="宋体"/>
          <w:sz w:val="28"/>
          <w:szCs w:val="28"/>
        </w:rPr>
        <w:t>(3)《参谋“悦”读》彰显鲜明特色。立足学习交流平台定位，广邀干部职工积极投稿，在理论学习、专家建言、新书推荐、写作交流等方面精心策划组稿，全年出刊12期，总体质量较高。</w:t>
      </w:r>
    </w:p>
    <w:p w14:paraId="2CCCE08E">
      <w:pPr>
        <w:spacing w:line="600" w:lineRule="exact"/>
        <w:ind w:firstLine="560" w:firstLineChars="200"/>
        <w:rPr>
          <w:rFonts w:ascii="宋体" w:hAnsi="宋体" w:eastAsia="宋体"/>
          <w:sz w:val="28"/>
          <w:szCs w:val="28"/>
        </w:rPr>
      </w:pPr>
      <w:r>
        <w:rPr>
          <w:rFonts w:hint="eastAsia" w:ascii="宋体" w:hAnsi="宋体" w:eastAsia="宋体"/>
          <w:sz w:val="28"/>
          <w:szCs w:val="28"/>
        </w:rPr>
        <w:t>(4)《政策信息》实现有机更新。第一时间编录中央政策方针及上海、深圳等城市发展动态，提供更加前沿、高频更新的资讯，全年出刊30期，第3期中《成都开年“总动员” 打造国际化营商环境》内容得到市委主要领导批示，推荐阅读。</w:t>
      </w:r>
    </w:p>
    <w:p w14:paraId="59C77335">
      <w:pPr>
        <w:pStyle w:val="3"/>
        <w:spacing w:before="0" w:after="0" w:line="360" w:lineRule="auto"/>
        <w:ind w:firstLine="560" w:firstLineChars="200"/>
        <w:rPr>
          <w:rFonts w:ascii="宋体" w:hAnsi="宋体" w:eastAsia="宋体"/>
          <w:b w:val="0"/>
          <w:kern w:val="0"/>
          <w:sz w:val="28"/>
          <w:szCs w:val="28"/>
        </w:rPr>
      </w:pPr>
      <w:bookmarkStart w:id="15" w:name="_Toc35186508"/>
      <w:r>
        <w:rPr>
          <w:rFonts w:hint="eastAsia" w:ascii="宋体" w:hAnsi="宋体" w:eastAsia="宋体"/>
          <w:b w:val="0"/>
          <w:kern w:val="0"/>
          <w:sz w:val="28"/>
          <w:szCs w:val="28"/>
        </w:rPr>
        <w:t>（六）坚持严管厚爱，队伍建设切实强化</w:t>
      </w:r>
      <w:bookmarkEnd w:id="15"/>
    </w:p>
    <w:p w14:paraId="4308EDC8">
      <w:pPr>
        <w:spacing w:line="600" w:lineRule="exact"/>
        <w:ind w:firstLine="560" w:firstLineChars="200"/>
        <w:rPr>
          <w:rFonts w:ascii="宋体" w:hAnsi="宋体" w:eastAsia="宋体"/>
          <w:sz w:val="28"/>
          <w:szCs w:val="28"/>
        </w:rPr>
      </w:pPr>
      <w:r>
        <w:rPr>
          <w:rFonts w:hint="eastAsia" w:ascii="宋体" w:hAnsi="宋体" w:eastAsia="宋体"/>
          <w:sz w:val="28"/>
          <w:szCs w:val="28"/>
        </w:rPr>
        <w:t>认真履行管党治党政治责任，坚持严管与厚爱相结合，全面加强思想、政治、能力、作风、纪律建设，着力锻造一支有信仰、有激情、有能力、有纪律的过硬服务型队伍。</w:t>
      </w:r>
    </w:p>
    <w:p w14:paraId="04B965A1">
      <w:pPr>
        <w:spacing w:line="600" w:lineRule="exact"/>
        <w:ind w:firstLine="560" w:firstLineChars="200"/>
        <w:rPr>
          <w:rFonts w:ascii="宋体" w:hAnsi="宋体" w:eastAsia="宋体"/>
          <w:sz w:val="28"/>
          <w:szCs w:val="28"/>
        </w:rPr>
      </w:pPr>
      <w:r>
        <w:rPr>
          <w:rFonts w:hint="eastAsia" w:ascii="宋体" w:hAnsi="宋体" w:eastAsia="宋体"/>
          <w:sz w:val="28"/>
          <w:szCs w:val="28"/>
        </w:rPr>
        <w:t>(1)结合主题教育，深化政治建设。以主题教育为重要契机和重大责任，分别制定班子和机关支部工作方案，推动主题教育和思想政治建设同推进、相促进。班子成员发挥表率作用，带头抓实学习教育、调查研究、检视问题和整改落实，相关经验4次获市委主题教育办简报推广。按照机关党支部“五化”建设要求，如期高效进行支部换届，全面严格“三会一课”、党员积分管理等制度。落实意识形态工作责任，报告意识形态工作2次。坚持最讲纪律、最讲规矩，对市委交办任务无条件落实，全室干部在工作中能够自觉从政治上看待、分析和处理问题。</w:t>
      </w:r>
    </w:p>
    <w:p w14:paraId="392E3709">
      <w:pPr>
        <w:spacing w:line="600" w:lineRule="exact"/>
        <w:ind w:firstLine="560" w:firstLineChars="200"/>
        <w:rPr>
          <w:rFonts w:ascii="宋体" w:hAnsi="宋体" w:eastAsia="宋体"/>
          <w:sz w:val="28"/>
          <w:szCs w:val="28"/>
        </w:rPr>
      </w:pPr>
      <w:r>
        <w:rPr>
          <w:rFonts w:hint="eastAsia" w:ascii="宋体" w:hAnsi="宋体" w:eastAsia="宋体"/>
          <w:sz w:val="28"/>
          <w:szCs w:val="28"/>
        </w:rPr>
        <w:t>(2)树立实干导向，激扬奋斗热情。评选学习、善谋、实干、律己“四个标兵”，2名同志获得新时代新担当新作为荣誉，“比学赶超”氛围切实浓厚。推动“干部大交流”，1名中层正职提拔到外单位，提拔重用交流中层正职5名、新提拔中层副职6名，启动1名中层副职调任，完成单位权限内初次职级晋升，人才梯队建设全面加强，有为有位的信号充分释放。</w:t>
      </w:r>
    </w:p>
    <w:p w14:paraId="731F600B">
      <w:pPr>
        <w:spacing w:line="600" w:lineRule="exact"/>
        <w:ind w:firstLine="560" w:firstLineChars="200"/>
        <w:rPr>
          <w:rFonts w:ascii="宋体" w:hAnsi="宋体" w:eastAsia="宋体"/>
          <w:sz w:val="28"/>
          <w:szCs w:val="28"/>
        </w:rPr>
      </w:pPr>
      <w:r>
        <w:rPr>
          <w:rFonts w:hint="eastAsia" w:ascii="宋体" w:hAnsi="宋体" w:eastAsia="宋体"/>
          <w:sz w:val="28"/>
          <w:szCs w:val="28"/>
        </w:rPr>
        <w:t>(3)坚持勤学深学，提升能力素养。坚持高素质、专业化要求，推动广大干部学在平时、学到深处、学以致用。组织室务会学习8次、中心组学习11次，常态开展党员集中学习，学习活动更加常态长效。精心编印发放《习近平总书记重要指示精神学习要点》，系统学习习近平总书记对推动中部崛起、湖南工作及党办工作等方面指示精神，做到政治学习和业务学习相融合。创办“政研讲坛”，邀请专家一周一授课，提升干部知识覆盖面和业务专精程度，目前已举办5期。建设实时共享文件的单位内网，打造保密性、互动性更强的交流研讨载体。</w:t>
      </w:r>
    </w:p>
    <w:p w14:paraId="28171007">
      <w:pPr>
        <w:spacing w:line="600" w:lineRule="exact"/>
        <w:ind w:firstLine="560" w:firstLineChars="200"/>
        <w:rPr>
          <w:rFonts w:ascii="宋体" w:hAnsi="宋体" w:eastAsia="宋体"/>
          <w:sz w:val="28"/>
          <w:szCs w:val="28"/>
        </w:rPr>
      </w:pPr>
      <w:r>
        <w:rPr>
          <w:rFonts w:hint="eastAsia" w:ascii="宋体" w:hAnsi="宋体" w:eastAsia="宋体"/>
          <w:sz w:val="28"/>
          <w:szCs w:val="28"/>
        </w:rPr>
        <w:t>(4)严格纪律规矩，锤炼优良作风。制定2019年党风廉政工作要点和责任清单，先后召开4次会议专题研究部署。扎实开展请销假制度、重大事项报告、机要保密、财务运行、文明创建等监督检查，机关运行进一步规范，获评省级文明单位。全室继续保持零违纪违法。</w:t>
      </w:r>
    </w:p>
    <w:p w14:paraId="3111A88D">
      <w:pPr>
        <w:spacing w:line="600" w:lineRule="exact"/>
        <w:ind w:firstLine="560" w:firstLineChars="200"/>
        <w:rPr>
          <w:rFonts w:ascii="宋体" w:hAnsi="宋体" w:eastAsia="宋体"/>
          <w:sz w:val="28"/>
          <w:szCs w:val="28"/>
        </w:rPr>
      </w:pPr>
      <w:r>
        <w:rPr>
          <w:rFonts w:hint="eastAsia" w:ascii="宋体" w:hAnsi="宋体" w:eastAsia="宋体"/>
          <w:sz w:val="28"/>
          <w:szCs w:val="28"/>
        </w:rPr>
        <w:t>一年来，市委政研室（改革办、财办）担当作为、攻坚克难，各项工作富有成效，但对照市委要求和工作需求，还存在能力素养、服务效能、自身管理等差距。我们将不忘初心、牢记使命，自我加压、砥砺奋进，为长沙高质量发展和现代化建设彰显党办担当、作出更大贡献。</w:t>
      </w:r>
    </w:p>
    <w:p w14:paraId="05E629B8">
      <w:pPr>
        <w:pStyle w:val="2"/>
        <w:spacing w:before="0" w:after="0" w:line="360" w:lineRule="auto"/>
        <w:ind w:firstLine="560" w:firstLineChars="200"/>
        <w:rPr>
          <w:rFonts w:ascii="宋体" w:hAnsi="宋体" w:eastAsia="宋体"/>
          <w:kern w:val="0"/>
          <w:sz w:val="28"/>
          <w:szCs w:val="28"/>
        </w:rPr>
      </w:pPr>
      <w:bookmarkStart w:id="16" w:name="_Toc35186509"/>
      <w:r>
        <w:rPr>
          <w:rFonts w:hint="eastAsia" w:ascii="宋体" w:hAnsi="宋体" w:eastAsia="宋体"/>
          <w:kern w:val="0"/>
          <w:sz w:val="28"/>
          <w:szCs w:val="28"/>
        </w:rPr>
        <w:t>五、存在的主要问题</w:t>
      </w:r>
      <w:bookmarkEnd w:id="16"/>
    </w:p>
    <w:p w14:paraId="69944AF9">
      <w:pPr>
        <w:pStyle w:val="3"/>
        <w:spacing w:before="0" w:after="0" w:line="360" w:lineRule="auto"/>
        <w:ind w:firstLine="560" w:firstLineChars="200"/>
        <w:rPr>
          <w:rFonts w:ascii="宋体" w:hAnsi="宋体" w:eastAsia="宋体"/>
          <w:sz w:val="28"/>
          <w:szCs w:val="28"/>
        </w:rPr>
      </w:pPr>
      <w:bookmarkStart w:id="17" w:name="_Toc35186510"/>
      <w:r>
        <w:rPr>
          <w:rFonts w:hint="eastAsia" w:ascii="宋体" w:hAnsi="宋体" w:eastAsia="宋体"/>
          <w:sz w:val="28"/>
          <w:szCs w:val="28"/>
        </w:rPr>
        <w:t>（一）预算编制不够完善</w:t>
      </w:r>
      <w:bookmarkEnd w:id="17"/>
    </w:p>
    <w:p w14:paraId="693800A0">
      <w:pPr>
        <w:spacing w:line="360" w:lineRule="auto"/>
        <w:ind w:firstLine="560" w:firstLineChars="200"/>
        <w:jc w:val="left"/>
        <w:rPr>
          <w:rFonts w:ascii="宋体" w:hAnsi="宋体" w:eastAsia="宋体"/>
          <w:sz w:val="28"/>
          <w:szCs w:val="28"/>
        </w:rPr>
      </w:pPr>
      <w:r>
        <w:rPr>
          <w:rFonts w:hint="eastAsia" w:ascii="宋体" w:hAnsi="宋体" w:eastAsia="宋体"/>
          <w:sz w:val="28"/>
          <w:szCs w:val="28"/>
        </w:rPr>
        <w:t>2019年初省财政批复预算支出1039.76万元，年中追加116.63万元，追加预算占年初11.21</w:t>
      </w:r>
      <w:r>
        <w:rPr>
          <w:rFonts w:ascii="宋体" w:hAnsi="宋体" w:eastAsia="宋体"/>
          <w:sz w:val="28"/>
          <w:szCs w:val="28"/>
        </w:rPr>
        <w:t>%</w:t>
      </w:r>
      <w:r>
        <w:rPr>
          <w:rFonts w:hint="eastAsia" w:ascii="宋体" w:hAnsi="宋体" w:eastAsia="宋体"/>
          <w:sz w:val="28"/>
          <w:szCs w:val="28"/>
        </w:rPr>
        <w:t>。2019年实际支出1156.39万元，超年初预算116.63万元，占比11.21</w:t>
      </w:r>
      <w:r>
        <w:rPr>
          <w:rFonts w:ascii="宋体" w:hAnsi="宋体" w:eastAsia="宋体"/>
          <w:sz w:val="28"/>
          <w:szCs w:val="28"/>
        </w:rPr>
        <w:t>%</w:t>
      </w:r>
      <w:r>
        <w:rPr>
          <w:rFonts w:hint="eastAsia" w:ascii="宋体" w:hAnsi="宋体" w:eastAsia="宋体"/>
          <w:sz w:val="28"/>
          <w:szCs w:val="28"/>
        </w:rPr>
        <w:t>。预算调整主要为基本支出的工资福利支出。</w:t>
      </w:r>
    </w:p>
    <w:p w14:paraId="0F525140">
      <w:pPr>
        <w:pStyle w:val="3"/>
        <w:spacing w:before="0" w:after="0" w:line="360" w:lineRule="auto"/>
        <w:ind w:firstLine="560" w:firstLineChars="200"/>
        <w:rPr>
          <w:rFonts w:ascii="宋体" w:hAnsi="宋体" w:eastAsia="宋体"/>
          <w:sz w:val="28"/>
          <w:szCs w:val="28"/>
        </w:rPr>
      </w:pPr>
      <w:bookmarkStart w:id="18" w:name="_Toc35186511"/>
      <w:r>
        <w:rPr>
          <w:rFonts w:hint="eastAsia" w:ascii="宋体" w:hAnsi="宋体" w:eastAsia="宋体"/>
          <w:sz w:val="28"/>
          <w:szCs w:val="28"/>
        </w:rPr>
        <w:t>（二）预算执行存在偏差</w:t>
      </w:r>
      <w:bookmarkEnd w:id="18"/>
    </w:p>
    <w:p w14:paraId="7C901AF2">
      <w:pPr>
        <w:widowControl/>
        <w:snapToGrid w:val="0"/>
        <w:spacing w:line="360" w:lineRule="auto"/>
        <w:ind w:firstLine="560" w:firstLineChars="200"/>
        <w:jc w:val="left"/>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因员工经费用预算安排不足，在实际经费列支中，未严格按照预算科目及专项项目进行列支，且各支出子项存在调剂的现象，部分基本支出挤占了项目支出。</w:t>
      </w:r>
    </w:p>
    <w:p w14:paraId="43235CC0">
      <w:pPr>
        <w:pStyle w:val="2"/>
        <w:spacing w:before="0" w:after="0" w:line="360" w:lineRule="auto"/>
        <w:ind w:firstLine="560" w:firstLineChars="200"/>
        <w:rPr>
          <w:rFonts w:ascii="宋体" w:hAnsi="宋体" w:eastAsia="宋体"/>
          <w:kern w:val="0"/>
          <w:sz w:val="28"/>
          <w:szCs w:val="28"/>
        </w:rPr>
      </w:pPr>
      <w:bookmarkStart w:id="19" w:name="_Toc35186513"/>
      <w:r>
        <w:rPr>
          <w:rFonts w:hint="eastAsia" w:ascii="宋体" w:hAnsi="宋体" w:eastAsia="宋体"/>
          <w:kern w:val="0"/>
          <w:sz w:val="28"/>
          <w:szCs w:val="28"/>
        </w:rPr>
        <w:t>六、改进措施和有关建议</w:t>
      </w:r>
      <w:bookmarkEnd w:id="19"/>
    </w:p>
    <w:p w14:paraId="785310DA">
      <w:pPr>
        <w:pStyle w:val="3"/>
        <w:spacing w:before="0" w:after="0" w:line="360" w:lineRule="auto"/>
        <w:ind w:firstLine="560" w:firstLineChars="200"/>
        <w:rPr>
          <w:rFonts w:ascii="宋体" w:hAnsi="宋体" w:eastAsia="宋体"/>
          <w:sz w:val="28"/>
          <w:szCs w:val="28"/>
        </w:rPr>
      </w:pPr>
      <w:bookmarkStart w:id="20" w:name="_Toc35186514"/>
      <w:r>
        <w:rPr>
          <w:rFonts w:hint="eastAsia" w:ascii="宋体" w:hAnsi="宋体" w:eastAsia="宋体"/>
          <w:sz w:val="28"/>
          <w:szCs w:val="28"/>
        </w:rPr>
        <w:t>合理制定预算，严格执行预算</w:t>
      </w:r>
      <w:bookmarkEnd w:id="20"/>
    </w:p>
    <w:p w14:paraId="0ACC3161">
      <w:pPr>
        <w:widowControl/>
        <w:snapToGrid w:val="0"/>
        <w:spacing w:line="360" w:lineRule="auto"/>
        <w:ind w:firstLine="560" w:firstLineChars="200"/>
        <w:jc w:val="left"/>
        <w:rPr>
          <w:rFonts w:ascii="宋体" w:hAnsi="宋体" w:eastAsia="宋体"/>
          <w:sz w:val="28"/>
          <w:szCs w:val="28"/>
        </w:rPr>
      </w:pPr>
      <w:r>
        <w:rPr>
          <w:rFonts w:hint="eastAsia" w:ascii="宋体" w:hAnsi="宋体" w:eastAsia="宋体"/>
          <w:sz w:val="28"/>
          <w:szCs w:val="28"/>
        </w:rPr>
        <w:t>建议按照《预算法》及其实施条例的相关规定，参考上一年的预算执行情况和年度的收支预测科学编制预算，避免年中大幅追加以及超预算。尤其制定工资福利支出时适当上浮一定比率。同时在编制预算项目时与上年核算科目结合起来，避免项目支出与基本支出划分不准。在预算执行中，严格按</w:t>
      </w:r>
      <w:r>
        <w:rPr>
          <w:rFonts w:ascii="宋体" w:hAnsi="宋体" w:eastAsia="宋体"/>
          <w:color w:val="000000"/>
          <w:sz w:val="28"/>
          <w:szCs w:val="28"/>
        </w:rPr>
        <w:t>照预算科目</w:t>
      </w:r>
      <w:r>
        <w:rPr>
          <w:rFonts w:hint="eastAsia" w:ascii="宋体" w:hAnsi="宋体" w:eastAsia="宋体"/>
          <w:color w:val="000000"/>
          <w:sz w:val="28"/>
          <w:szCs w:val="28"/>
        </w:rPr>
        <w:t>支出，避免</w:t>
      </w:r>
      <w:r>
        <w:rPr>
          <w:rFonts w:ascii="宋体" w:hAnsi="宋体" w:eastAsia="宋体"/>
          <w:color w:val="000000"/>
          <w:sz w:val="28"/>
          <w:szCs w:val="28"/>
        </w:rPr>
        <w:t>预算科目间的预算资金调剂</w:t>
      </w:r>
      <w:r>
        <w:rPr>
          <w:rFonts w:hint="eastAsia" w:ascii="宋体" w:hAnsi="宋体" w:eastAsia="宋体"/>
          <w:color w:val="000000"/>
          <w:sz w:val="28"/>
          <w:szCs w:val="28"/>
        </w:rPr>
        <w:t>，确需调剂的，按规定程序报经批准。</w:t>
      </w:r>
    </w:p>
    <w:p w14:paraId="0A2E0642">
      <w:pPr>
        <w:pStyle w:val="2"/>
        <w:spacing w:before="0" w:after="0" w:line="360" w:lineRule="auto"/>
        <w:ind w:firstLine="560" w:firstLineChars="200"/>
        <w:rPr>
          <w:rFonts w:ascii="宋体" w:hAnsi="宋体" w:eastAsia="宋体"/>
          <w:kern w:val="0"/>
          <w:sz w:val="28"/>
          <w:szCs w:val="28"/>
        </w:rPr>
      </w:pPr>
      <w:bookmarkStart w:id="21" w:name="_Toc35186516"/>
      <w:r>
        <w:rPr>
          <w:rFonts w:hint="eastAsia" w:ascii="宋体" w:hAnsi="宋体" w:eastAsia="宋体"/>
          <w:kern w:val="0"/>
          <w:sz w:val="28"/>
          <w:szCs w:val="28"/>
        </w:rPr>
        <w:t>七、报告附表</w:t>
      </w:r>
      <w:bookmarkEnd w:id="21"/>
    </w:p>
    <w:p w14:paraId="04485849">
      <w:pPr>
        <w:widowControl/>
        <w:snapToGrid w:val="0"/>
        <w:spacing w:line="360" w:lineRule="auto"/>
        <w:ind w:firstLine="560" w:firstLineChars="200"/>
        <w:jc w:val="left"/>
        <w:rPr>
          <w:rFonts w:ascii="宋体" w:hAnsi="宋体" w:eastAsia="宋体" w:cs="宋体"/>
          <w:b/>
          <w:bCs/>
          <w:kern w:val="0"/>
          <w:szCs w:val="21"/>
        </w:rPr>
      </w:pPr>
      <w:r>
        <w:rPr>
          <w:rFonts w:hint="eastAsia" w:ascii="宋体" w:hAnsi="宋体" w:eastAsia="宋体" w:cs="宋体"/>
          <w:kern w:val="0"/>
          <w:sz w:val="28"/>
          <w:szCs w:val="28"/>
        </w:rPr>
        <w:t>附表一：部门整体支出绩效评价基础数据表</w:t>
      </w:r>
    </w:p>
    <w:p w14:paraId="6E140B51">
      <w:pPr>
        <w:widowControl/>
        <w:snapToGrid w:val="0"/>
        <w:spacing w:line="360" w:lineRule="auto"/>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附表二：部门整体支出绩效评价指标表</w:t>
      </w:r>
    </w:p>
    <w:p w14:paraId="2D7A33D8">
      <w:pPr>
        <w:widowControl/>
        <w:snapToGrid w:val="0"/>
        <w:spacing w:line="360" w:lineRule="auto"/>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附表三：支出明细表</w:t>
      </w:r>
    </w:p>
    <w:p w14:paraId="31A06542">
      <w:pPr>
        <w:widowControl/>
        <w:snapToGrid w:val="0"/>
        <w:spacing w:line="360" w:lineRule="auto"/>
        <w:ind w:firstLine="560" w:firstLineChars="200"/>
        <w:jc w:val="left"/>
        <w:rPr>
          <w:rFonts w:ascii="宋体" w:hAnsi="宋体" w:eastAsia="宋体" w:cs="宋体"/>
          <w:kern w:val="0"/>
          <w:sz w:val="28"/>
          <w:szCs w:val="28"/>
        </w:rPr>
        <w:sectPr>
          <w:footerReference r:id="rId6" w:type="first"/>
          <w:footerReference r:id="rId5" w:type="default"/>
          <w:pgSz w:w="11906" w:h="16838"/>
          <w:pgMar w:top="1440" w:right="1797" w:bottom="1440" w:left="1797" w:header="851" w:footer="992" w:gutter="0"/>
          <w:pgNumType w:start="1"/>
          <w:cols w:space="425" w:num="1"/>
          <w:titlePg/>
          <w:docGrid w:type="linesAndChars" w:linePitch="312" w:charSpace="0"/>
        </w:sectPr>
      </w:pPr>
    </w:p>
    <w:p w14:paraId="542A8DE9">
      <w:pPr>
        <w:widowControl/>
        <w:textAlignment w:val="center"/>
        <w:rPr>
          <w:rFonts w:ascii="宋体" w:hAnsi="宋体" w:eastAsia="宋体" w:cs="宋体"/>
          <w:kern w:val="0"/>
          <w:sz w:val="28"/>
          <w:szCs w:val="28"/>
        </w:rPr>
      </w:pPr>
    </w:p>
    <w:p w14:paraId="0E40587F">
      <w:pPr>
        <w:widowControl/>
        <w:textAlignment w:val="center"/>
        <w:rPr>
          <w:rFonts w:ascii="宋体" w:hAnsi="宋体" w:eastAsia="宋体" w:cs="宋体"/>
          <w:b/>
          <w:bCs/>
          <w:kern w:val="0"/>
          <w:szCs w:val="21"/>
        </w:rPr>
      </w:pPr>
      <w:r>
        <w:rPr>
          <w:rFonts w:hint="eastAsia" w:ascii="宋体" w:hAnsi="宋体" w:eastAsia="宋体" w:cs="宋体"/>
          <w:kern w:val="0"/>
          <w:szCs w:val="21"/>
        </w:rPr>
        <w:t xml:space="preserve">附表1  </w:t>
      </w:r>
      <w:r>
        <w:rPr>
          <w:rFonts w:hint="eastAsia" w:ascii="宋体" w:hAnsi="宋体" w:eastAsia="宋体" w:cs="宋体"/>
          <w:b/>
          <w:bCs/>
          <w:kern w:val="0"/>
          <w:szCs w:val="21"/>
        </w:rPr>
        <w:t xml:space="preserve">                     部门整体支出绩效评价基础数据表</w:t>
      </w:r>
    </w:p>
    <w:p w14:paraId="3F7E1428">
      <w:pPr>
        <w:widowControl/>
        <w:jc w:val="right"/>
        <w:textAlignment w:val="center"/>
        <w:rPr>
          <w:rFonts w:ascii="宋体" w:hAnsi="宋体" w:eastAsia="宋体" w:cs="宋体"/>
          <w:bCs/>
          <w:kern w:val="0"/>
          <w:szCs w:val="21"/>
        </w:rPr>
      </w:pPr>
      <w:r>
        <w:rPr>
          <w:rFonts w:hint="eastAsia" w:ascii="宋体" w:hAnsi="宋体" w:eastAsia="宋体" w:cs="宋体"/>
          <w:bCs/>
          <w:kern w:val="0"/>
          <w:szCs w:val="21"/>
        </w:rPr>
        <w:t>单位：万元</w:t>
      </w:r>
    </w:p>
    <w:p w14:paraId="5DD1ABFC">
      <w:pPr>
        <w:widowControl/>
        <w:textAlignment w:val="center"/>
        <w:rPr>
          <w:rFonts w:ascii="宋体" w:hAnsi="宋体" w:eastAsia="宋体" w:cs="宋体"/>
          <w:b/>
          <w:bCs/>
          <w:kern w:val="0"/>
          <w:szCs w:val="21"/>
        </w:rPr>
      </w:pPr>
    </w:p>
    <w:tbl>
      <w:tblPr>
        <w:tblStyle w:val="17"/>
        <w:tblW w:w="8528" w:type="dxa"/>
        <w:tblInd w:w="0" w:type="dxa"/>
        <w:tblLayout w:type="fixed"/>
        <w:tblCellMar>
          <w:top w:w="0" w:type="dxa"/>
          <w:left w:w="108" w:type="dxa"/>
          <w:bottom w:w="0" w:type="dxa"/>
          <w:right w:w="108" w:type="dxa"/>
        </w:tblCellMar>
      </w:tblPr>
      <w:tblGrid>
        <w:gridCol w:w="2841"/>
        <w:gridCol w:w="819"/>
        <w:gridCol w:w="416"/>
        <w:gridCol w:w="1255"/>
        <w:gridCol w:w="416"/>
        <w:gridCol w:w="316"/>
        <w:gridCol w:w="849"/>
        <w:gridCol w:w="709"/>
        <w:gridCol w:w="907"/>
      </w:tblGrid>
      <w:tr w14:paraId="2CB0230A">
        <w:tblPrEx>
          <w:tblCellMar>
            <w:top w:w="0" w:type="dxa"/>
            <w:left w:w="108" w:type="dxa"/>
            <w:bottom w:w="0" w:type="dxa"/>
            <w:right w:w="108" w:type="dxa"/>
          </w:tblCellMar>
        </w:tblPrEx>
        <w:trPr>
          <w:trHeight w:val="340" w:hRule="atLeast"/>
        </w:trPr>
        <w:tc>
          <w:tcPr>
            <w:tcW w:w="2841"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3A48169D">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财政供养人员情况</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75D7FB77">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编制数</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090C0554">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2019</w:t>
            </w:r>
            <w:r>
              <w:rPr>
                <w:rFonts w:hint="eastAsia" w:ascii="黑体" w:hAnsi="黑体" w:eastAsia="黑体" w:cs="Times New Roman"/>
                <w:color w:val="000000"/>
                <w:kern w:val="0"/>
                <w:sz w:val="20"/>
                <w:szCs w:val="20"/>
              </w:rPr>
              <w:t>年实际在职人数</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13D51466">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控制率</w:t>
            </w:r>
          </w:p>
        </w:tc>
      </w:tr>
      <w:tr w14:paraId="612EA67F">
        <w:tblPrEx>
          <w:tblCellMar>
            <w:top w:w="0" w:type="dxa"/>
            <w:left w:w="108" w:type="dxa"/>
            <w:bottom w:w="0" w:type="dxa"/>
            <w:right w:w="108" w:type="dxa"/>
          </w:tblCellMar>
        </w:tblPrEx>
        <w:trPr>
          <w:trHeight w:val="340" w:hRule="atLeast"/>
        </w:trPr>
        <w:tc>
          <w:tcPr>
            <w:tcW w:w="2841" w:type="dxa"/>
            <w:vMerge w:val="continue"/>
            <w:tcBorders>
              <w:top w:val="single" w:color="auto" w:sz="8" w:space="0"/>
              <w:left w:val="single" w:color="auto" w:sz="8" w:space="0"/>
              <w:bottom w:val="single" w:color="000000" w:sz="8" w:space="0"/>
              <w:right w:val="single" w:color="auto" w:sz="8" w:space="0"/>
            </w:tcBorders>
            <w:vAlign w:val="center"/>
          </w:tcPr>
          <w:p w14:paraId="436D04B1">
            <w:pPr>
              <w:widowControl/>
              <w:jc w:val="left"/>
              <w:rPr>
                <w:rFonts w:ascii="黑体" w:hAnsi="黑体" w:eastAsia="黑体" w:cs="Tahoma"/>
                <w:color w:val="000000"/>
                <w:kern w:val="0"/>
                <w:sz w:val="20"/>
                <w:szCs w:val="20"/>
              </w:rPr>
            </w:pP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3058B0B6">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33</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11B5D7D5">
            <w:pPr>
              <w:widowControl/>
              <w:jc w:val="center"/>
              <w:rPr>
                <w:rFonts w:ascii="宋体" w:hAnsi="宋体" w:eastAsia="宋体" w:cs="Tahoma"/>
                <w:color w:val="000000"/>
                <w:kern w:val="0"/>
                <w:sz w:val="20"/>
                <w:szCs w:val="20"/>
              </w:rPr>
            </w:pPr>
            <w:r>
              <w:rPr>
                <w:rFonts w:hint="eastAsia" w:ascii="宋体" w:hAnsi="宋体" w:eastAsia="宋体" w:cs="Tahoma"/>
                <w:color w:val="FF0000"/>
                <w:kern w:val="0"/>
                <w:sz w:val="20"/>
                <w:szCs w:val="20"/>
              </w:rPr>
              <w:t>29</w:t>
            </w:r>
          </w:p>
        </w:tc>
        <w:tc>
          <w:tcPr>
            <w:tcW w:w="1616" w:type="dxa"/>
            <w:gridSpan w:val="2"/>
            <w:tcBorders>
              <w:top w:val="single" w:color="000000" w:sz="8" w:space="0"/>
              <w:left w:val="nil"/>
              <w:bottom w:val="single" w:color="000000" w:sz="8" w:space="0"/>
              <w:right w:val="single" w:color="000000" w:sz="8" w:space="0"/>
            </w:tcBorders>
            <w:shd w:val="clear" w:color="000000" w:fill="FFFFFF"/>
            <w:vAlign w:val="center"/>
          </w:tcPr>
          <w:p w14:paraId="36E268EC">
            <w:pPr>
              <w:widowControl/>
              <w:jc w:val="center"/>
              <w:rPr>
                <w:rFonts w:ascii="宋体" w:hAnsi="宋体" w:eastAsia="宋体" w:cs="Tahoma"/>
                <w:color w:val="000000"/>
                <w:kern w:val="0"/>
                <w:szCs w:val="21"/>
              </w:rPr>
            </w:pPr>
            <w:r>
              <w:rPr>
                <w:rFonts w:hint="eastAsia" w:ascii="宋体" w:hAnsi="宋体" w:eastAsia="宋体" w:cs="Tahoma"/>
                <w:color w:val="000000"/>
                <w:kern w:val="0"/>
                <w:szCs w:val="21"/>
              </w:rPr>
              <w:t>87.88%</w:t>
            </w:r>
          </w:p>
        </w:tc>
      </w:tr>
      <w:tr w14:paraId="49397833">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78231A63">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经费控制情况</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3C81568A">
            <w:pPr>
              <w:widowControl/>
              <w:jc w:val="center"/>
              <w:rPr>
                <w:rFonts w:ascii="Times New Roman" w:hAnsi="Times New Roman" w:eastAsia="宋体" w:cs="Times New Roman"/>
                <w:b/>
                <w:bCs/>
                <w:color w:val="000000"/>
                <w:kern w:val="0"/>
                <w:sz w:val="20"/>
                <w:szCs w:val="20"/>
              </w:rPr>
            </w:pPr>
            <w:r>
              <w:rPr>
                <w:rFonts w:ascii="Times New Roman" w:hAnsi="Times New Roman" w:eastAsia="宋体" w:cs="Times New Roman"/>
                <w:b/>
                <w:bCs/>
                <w:color w:val="000000"/>
                <w:kern w:val="0"/>
                <w:sz w:val="20"/>
                <w:szCs w:val="20"/>
              </w:rPr>
              <w:t>2018</w:t>
            </w:r>
            <w:r>
              <w:rPr>
                <w:rFonts w:hint="eastAsia" w:ascii="宋体" w:hAnsi="宋体" w:eastAsia="宋体" w:cs="Times New Roman"/>
                <w:b/>
                <w:bCs/>
                <w:color w:val="000000"/>
                <w:kern w:val="0"/>
                <w:sz w:val="20"/>
                <w:szCs w:val="20"/>
              </w:rPr>
              <w:t>年决算数</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77B52D32">
            <w:pPr>
              <w:widowControl/>
              <w:jc w:val="center"/>
              <w:rPr>
                <w:rFonts w:ascii="Times New Roman" w:hAnsi="Times New Roman" w:eastAsia="宋体" w:cs="Times New Roman"/>
                <w:b/>
                <w:bCs/>
                <w:color w:val="000000"/>
                <w:kern w:val="0"/>
                <w:sz w:val="20"/>
                <w:szCs w:val="20"/>
              </w:rPr>
            </w:pPr>
            <w:r>
              <w:rPr>
                <w:rFonts w:ascii="Times New Roman" w:hAnsi="Times New Roman" w:eastAsia="宋体" w:cs="Times New Roman"/>
                <w:b/>
                <w:bCs/>
                <w:color w:val="000000"/>
                <w:kern w:val="0"/>
                <w:sz w:val="20"/>
                <w:szCs w:val="20"/>
              </w:rPr>
              <w:t>2019</w:t>
            </w:r>
            <w:r>
              <w:rPr>
                <w:rFonts w:hint="eastAsia" w:ascii="宋体" w:hAnsi="宋体" w:eastAsia="宋体" w:cs="Times New Roman"/>
                <w:b/>
                <w:bCs/>
                <w:color w:val="000000"/>
                <w:kern w:val="0"/>
                <w:sz w:val="20"/>
                <w:szCs w:val="20"/>
              </w:rPr>
              <w:t>年预算数</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62AF506E">
            <w:pPr>
              <w:widowControl/>
              <w:jc w:val="center"/>
              <w:rPr>
                <w:rFonts w:ascii="Times New Roman" w:hAnsi="Times New Roman" w:eastAsia="宋体" w:cs="Times New Roman"/>
                <w:b/>
                <w:bCs/>
                <w:color w:val="000000"/>
                <w:kern w:val="0"/>
                <w:sz w:val="20"/>
                <w:szCs w:val="20"/>
              </w:rPr>
            </w:pPr>
            <w:r>
              <w:rPr>
                <w:rFonts w:ascii="Times New Roman" w:hAnsi="Times New Roman" w:eastAsia="宋体" w:cs="Times New Roman"/>
                <w:b/>
                <w:bCs/>
                <w:color w:val="000000"/>
                <w:kern w:val="0"/>
                <w:sz w:val="20"/>
                <w:szCs w:val="20"/>
              </w:rPr>
              <w:t>2019</w:t>
            </w:r>
            <w:r>
              <w:rPr>
                <w:rFonts w:hint="eastAsia" w:ascii="宋体" w:hAnsi="宋体" w:eastAsia="宋体" w:cs="Times New Roman"/>
                <w:b/>
                <w:bCs/>
                <w:color w:val="000000"/>
                <w:kern w:val="0"/>
                <w:sz w:val="20"/>
                <w:szCs w:val="20"/>
              </w:rPr>
              <w:t>年决算数</w:t>
            </w:r>
          </w:p>
        </w:tc>
      </w:tr>
      <w:tr w14:paraId="44D38713">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04678BDD">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三公经费</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5572DD63">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7.69 </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6B064336">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21.00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244F06B2">
            <w:pPr>
              <w:widowControl/>
              <w:jc w:val="center"/>
              <w:rPr>
                <w:rFonts w:ascii="宋体" w:hAnsi="宋体" w:eastAsia="宋体" w:cs="Tahoma"/>
                <w:i/>
                <w:color w:val="000000" w:themeColor="text1"/>
                <w:kern w:val="0"/>
                <w:sz w:val="20"/>
                <w:szCs w:val="20"/>
                <w14:textFill>
                  <w14:solidFill>
                    <w14:schemeClr w14:val="tx1"/>
                  </w14:solidFill>
                </w14:textFill>
              </w:rPr>
            </w:pPr>
            <w:r>
              <w:rPr>
                <w:rFonts w:hint="eastAsia" w:ascii="宋体" w:hAnsi="宋体" w:eastAsia="宋体" w:cs="Tahoma"/>
                <w:i/>
                <w:color w:val="000000" w:themeColor="text1"/>
                <w:kern w:val="0"/>
                <w:sz w:val="20"/>
                <w:szCs w:val="20"/>
                <w14:textFill>
                  <w14:solidFill>
                    <w14:schemeClr w14:val="tx1"/>
                  </w14:solidFill>
                </w14:textFill>
              </w:rPr>
              <w:t xml:space="preserve">9.24 </w:t>
            </w:r>
          </w:p>
        </w:tc>
      </w:tr>
      <w:tr w14:paraId="09A0D1A1">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43EBCF55">
            <w:pPr>
              <w:widowControl/>
              <w:jc w:val="lef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   1</w:t>
            </w:r>
            <w:r>
              <w:rPr>
                <w:rFonts w:hint="eastAsia" w:ascii="宋体" w:hAnsi="宋体" w:eastAsia="宋体" w:cs="Times New Roman"/>
                <w:color w:val="000000"/>
                <w:kern w:val="0"/>
                <w:sz w:val="20"/>
                <w:szCs w:val="20"/>
              </w:rPr>
              <w:t>、公务用车购置和维护经费</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57DAFB07">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5.24 </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65A8077C">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9.00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03CFB5EA">
            <w:pPr>
              <w:widowControl/>
              <w:jc w:val="center"/>
              <w:rPr>
                <w:rFonts w:ascii="宋体" w:hAnsi="宋体" w:eastAsia="宋体" w:cs="Tahoma"/>
                <w:i/>
                <w:color w:val="000000" w:themeColor="text1"/>
                <w:kern w:val="0"/>
                <w:sz w:val="20"/>
                <w:szCs w:val="20"/>
                <w14:textFill>
                  <w14:solidFill>
                    <w14:schemeClr w14:val="tx1"/>
                  </w14:solidFill>
                </w14:textFill>
              </w:rPr>
            </w:pPr>
            <w:r>
              <w:rPr>
                <w:rFonts w:hint="eastAsia" w:ascii="宋体" w:hAnsi="宋体" w:eastAsia="宋体" w:cs="Tahoma"/>
                <w:i/>
                <w:color w:val="000000" w:themeColor="text1"/>
                <w:kern w:val="0"/>
                <w:sz w:val="20"/>
                <w:szCs w:val="20"/>
                <w14:textFill>
                  <w14:solidFill>
                    <w14:schemeClr w14:val="tx1"/>
                  </w14:solidFill>
                </w14:textFill>
              </w:rPr>
              <w:t>4.72</w:t>
            </w:r>
          </w:p>
        </w:tc>
      </w:tr>
      <w:tr w14:paraId="08A21040">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3B6EE248">
            <w:pPr>
              <w:widowControl/>
              <w:jc w:val="lef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       </w:t>
            </w:r>
            <w:r>
              <w:rPr>
                <w:rFonts w:hint="eastAsia" w:ascii="宋体" w:hAnsi="宋体" w:eastAsia="宋体" w:cs="Times New Roman"/>
                <w:color w:val="000000"/>
                <w:kern w:val="0"/>
                <w:sz w:val="20"/>
                <w:szCs w:val="20"/>
              </w:rPr>
              <w:t>其中：公车购置</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1A881B32">
            <w:pPr>
              <w:widowControl/>
              <w:jc w:val="center"/>
              <w:rPr>
                <w:rFonts w:ascii="宋体" w:hAnsi="宋体" w:eastAsia="宋体" w:cs="Tahoma"/>
                <w:color w:val="000000" w:themeColor="text1"/>
                <w:kern w:val="0"/>
                <w:sz w:val="20"/>
                <w:szCs w:val="20"/>
                <w14:textFill>
                  <w14:solidFill>
                    <w14:schemeClr w14:val="tx1"/>
                  </w14:solidFill>
                </w14:textFill>
              </w:rPr>
            </w:pP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0810CE18">
            <w:pPr>
              <w:widowControl/>
              <w:jc w:val="center"/>
              <w:rPr>
                <w:rFonts w:ascii="宋体" w:hAnsi="宋体" w:eastAsia="宋体" w:cs="Tahoma"/>
                <w:color w:val="000000" w:themeColor="text1"/>
                <w:kern w:val="0"/>
                <w:sz w:val="20"/>
                <w:szCs w:val="20"/>
                <w14:textFill>
                  <w14:solidFill>
                    <w14:schemeClr w14:val="tx1"/>
                  </w14:solidFill>
                </w14:textFill>
              </w:rPr>
            </w:pP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5D4195E0">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r>
      <w:tr w14:paraId="2E749FAC">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3F4345F2">
            <w:pPr>
              <w:widowControl/>
              <w:jc w:val="lef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             </w:t>
            </w:r>
            <w:r>
              <w:rPr>
                <w:rFonts w:hint="eastAsia" w:ascii="宋体" w:hAnsi="宋体" w:eastAsia="宋体" w:cs="Times New Roman"/>
                <w:color w:val="000000"/>
                <w:kern w:val="0"/>
                <w:sz w:val="20"/>
                <w:szCs w:val="20"/>
              </w:rPr>
              <w:t>公车运行维护</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13041B90">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5.24 </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47D470F0">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9.00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0F3C99A5">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4.72</w:t>
            </w:r>
          </w:p>
        </w:tc>
      </w:tr>
      <w:tr w14:paraId="6EEA4694">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5E66BEAB">
            <w:pPr>
              <w:widowControl/>
              <w:jc w:val="lef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   2</w:t>
            </w:r>
            <w:r>
              <w:rPr>
                <w:rFonts w:hint="eastAsia" w:ascii="宋体" w:hAnsi="宋体" w:eastAsia="宋体" w:cs="Times New Roman"/>
                <w:color w:val="000000"/>
                <w:kern w:val="0"/>
                <w:sz w:val="20"/>
                <w:szCs w:val="20"/>
              </w:rPr>
              <w:t>、出国经费</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229B421E">
            <w:pPr>
              <w:widowControl/>
              <w:jc w:val="center"/>
              <w:rPr>
                <w:rFonts w:ascii="宋体" w:hAnsi="宋体" w:eastAsia="宋体" w:cs="Tahoma"/>
                <w:color w:val="000000" w:themeColor="text1"/>
                <w:kern w:val="0"/>
                <w:sz w:val="20"/>
                <w:szCs w:val="20"/>
                <w14:textFill>
                  <w14:solidFill>
                    <w14:schemeClr w14:val="tx1"/>
                  </w14:solidFill>
                </w14:textFill>
              </w:rPr>
            </w:pP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7514CB6A">
            <w:pPr>
              <w:widowControl/>
              <w:jc w:val="center"/>
              <w:rPr>
                <w:rFonts w:ascii="宋体" w:hAnsi="宋体" w:eastAsia="宋体" w:cs="Tahoma"/>
                <w:color w:val="000000" w:themeColor="text1"/>
                <w:kern w:val="0"/>
                <w:sz w:val="20"/>
                <w:szCs w:val="20"/>
                <w14:textFill>
                  <w14:solidFill>
                    <w14:schemeClr w14:val="tx1"/>
                  </w14:solidFill>
                </w14:textFill>
              </w:rPr>
            </w:pP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59D03DB5">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3.08</w:t>
            </w:r>
          </w:p>
        </w:tc>
      </w:tr>
      <w:tr w14:paraId="391BE916">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3ED8DD3E">
            <w:pPr>
              <w:widowControl/>
              <w:jc w:val="lef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   3</w:t>
            </w:r>
            <w:r>
              <w:rPr>
                <w:rFonts w:hint="eastAsia" w:ascii="宋体" w:hAnsi="宋体" w:eastAsia="宋体" w:cs="Times New Roman"/>
                <w:color w:val="000000"/>
                <w:kern w:val="0"/>
                <w:sz w:val="20"/>
                <w:szCs w:val="20"/>
              </w:rPr>
              <w:t>、公务接待</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25308B4E">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2.45 </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6158A1D6">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12.00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66CEBC64">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1.44</w:t>
            </w:r>
          </w:p>
        </w:tc>
      </w:tr>
      <w:tr w14:paraId="73D0A347">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1AB3A27A">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项目支出：</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02273C60">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304.50 </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46A27053">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308.75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36E35A62">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280.04 </w:t>
            </w:r>
          </w:p>
        </w:tc>
      </w:tr>
      <w:tr w14:paraId="1B91B95B">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537BC5BF">
            <w:pPr>
              <w:widowControl/>
              <w:jc w:val="lef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    1</w:t>
            </w:r>
            <w:r>
              <w:rPr>
                <w:rFonts w:hint="eastAsia" w:ascii="宋体" w:hAnsi="宋体" w:eastAsia="宋体" w:cs="Times New Roman"/>
                <w:color w:val="000000"/>
                <w:kern w:val="0"/>
                <w:sz w:val="20"/>
                <w:szCs w:val="20"/>
              </w:rPr>
              <w:t>、业务工作专项</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1F8A322B">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304.50 </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35B8D3D1">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308.75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500660ED">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280.04 </w:t>
            </w:r>
          </w:p>
        </w:tc>
      </w:tr>
      <w:tr w14:paraId="1BD9EE09">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30FE1016">
            <w:pPr>
              <w:widowControl/>
              <w:jc w:val="lef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    2</w:t>
            </w:r>
            <w:r>
              <w:rPr>
                <w:rFonts w:hint="eastAsia" w:ascii="宋体" w:hAnsi="宋体" w:eastAsia="宋体" w:cs="Times New Roman"/>
                <w:color w:val="000000"/>
                <w:kern w:val="0"/>
                <w:sz w:val="20"/>
                <w:szCs w:val="20"/>
              </w:rPr>
              <w:t>、运行维护专项</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25CA1B38">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377480B5">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46663B0A">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r>
      <w:tr w14:paraId="64520B11">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527898AC">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507C56BC">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6FA825D0">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0B6EBF21">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r>
      <w:tr w14:paraId="2CF3380E">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02535FF2">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公用经费</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154415C3">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58.04 </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212A3B11">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105.50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5942A7C5">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88.34 </w:t>
            </w:r>
          </w:p>
        </w:tc>
      </w:tr>
      <w:tr w14:paraId="061EFBB6">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453BA4C2">
            <w:pPr>
              <w:widowControl/>
              <w:jc w:val="lef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    </w:t>
            </w:r>
            <w:r>
              <w:rPr>
                <w:rFonts w:hint="eastAsia" w:ascii="宋体" w:hAnsi="宋体" w:eastAsia="宋体" w:cs="Times New Roman"/>
                <w:color w:val="000000"/>
                <w:kern w:val="0"/>
                <w:sz w:val="20"/>
                <w:szCs w:val="20"/>
              </w:rPr>
              <w:t>其中：办公经费</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49F76794">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0.07</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4DE8CD6B">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22.56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6CB14BD3">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3.73</w:t>
            </w:r>
          </w:p>
        </w:tc>
      </w:tr>
      <w:tr w14:paraId="69AA07E3">
        <w:tblPrEx>
          <w:tblCellMar>
            <w:top w:w="0" w:type="dxa"/>
            <w:left w:w="108" w:type="dxa"/>
            <w:bottom w:w="0" w:type="dxa"/>
            <w:right w:w="108" w:type="dxa"/>
          </w:tblCellMar>
        </w:tblPrEx>
        <w:trPr>
          <w:trHeight w:val="340" w:hRule="atLeast"/>
        </w:trPr>
        <w:tc>
          <w:tcPr>
            <w:tcW w:w="2841" w:type="dxa"/>
            <w:tcBorders>
              <w:top w:val="nil"/>
              <w:left w:val="single" w:color="000000" w:sz="8" w:space="0"/>
              <w:bottom w:val="single" w:color="000000" w:sz="8" w:space="0"/>
              <w:right w:val="single" w:color="000000" w:sz="8" w:space="0"/>
            </w:tcBorders>
            <w:shd w:val="clear" w:color="000000" w:fill="FFFFFF"/>
            <w:vAlign w:val="center"/>
          </w:tcPr>
          <w:p w14:paraId="7FEB5E3F">
            <w:pPr>
              <w:widowControl/>
              <w:rPr>
                <w:rFonts w:ascii="宋体" w:hAnsi="宋体" w:eastAsia="宋体" w:cs="Tahoma"/>
                <w:color w:val="000000"/>
                <w:kern w:val="0"/>
                <w:szCs w:val="21"/>
              </w:rPr>
            </w:pPr>
            <w:r>
              <w:rPr>
                <w:rFonts w:hint="eastAsia" w:ascii="宋体" w:hAnsi="宋体" w:eastAsia="宋体" w:cs="Tahoma"/>
                <w:color w:val="000000"/>
                <w:kern w:val="0"/>
                <w:szCs w:val="21"/>
              </w:rPr>
              <w:t>水费、电费、差旅费</w:t>
            </w:r>
          </w:p>
        </w:tc>
        <w:tc>
          <w:tcPr>
            <w:tcW w:w="819" w:type="dxa"/>
            <w:tcBorders>
              <w:top w:val="nil"/>
              <w:left w:val="nil"/>
              <w:bottom w:val="nil"/>
              <w:right w:val="nil"/>
            </w:tcBorders>
            <w:shd w:val="clear" w:color="auto" w:fill="auto"/>
            <w:vAlign w:val="center"/>
          </w:tcPr>
          <w:p w14:paraId="3D9CB73D">
            <w:pPr>
              <w:widowControl/>
              <w:jc w:val="center"/>
              <w:rPr>
                <w:rFonts w:ascii="宋体" w:hAnsi="宋体" w:eastAsia="宋体" w:cs="Tahoma"/>
                <w:color w:val="000000" w:themeColor="text1"/>
                <w:kern w:val="0"/>
                <w:sz w:val="20"/>
                <w:szCs w:val="20"/>
                <w14:textFill>
                  <w14:solidFill>
                    <w14:schemeClr w14:val="tx1"/>
                  </w14:solidFill>
                </w14:textFill>
              </w:rPr>
            </w:pPr>
          </w:p>
        </w:tc>
        <w:tc>
          <w:tcPr>
            <w:tcW w:w="1671" w:type="dxa"/>
            <w:gridSpan w:val="2"/>
            <w:tcBorders>
              <w:top w:val="nil"/>
              <w:left w:val="nil"/>
              <w:bottom w:val="nil"/>
              <w:right w:val="single" w:color="000000" w:sz="8" w:space="0"/>
            </w:tcBorders>
            <w:shd w:val="clear" w:color="auto" w:fill="auto"/>
            <w:vAlign w:val="center"/>
          </w:tcPr>
          <w:p w14:paraId="0FE53574">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c>
          <w:tcPr>
            <w:tcW w:w="416" w:type="dxa"/>
            <w:tcBorders>
              <w:top w:val="nil"/>
              <w:left w:val="nil"/>
              <w:bottom w:val="single" w:color="auto" w:sz="8" w:space="0"/>
              <w:right w:val="nil"/>
            </w:tcBorders>
            <w:shd w:val="clear" w:color="auto" w:fill="auto"/>
            <w:vAlign w:val="center"/>
          </w:tcPr>
          <w:p w14:paraId="2D80F4AB">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c>
          <w:tcPr>
            <w:tcW w:w="1165" w:type="dxa"/>
            <w:gridSpan w:val="2"/>
            <w:tcBorders>
              <w:top w:val="nil"/>
              <w:left w:val="nil"/>
              <w:bottom w:val="single" w:color="auto" w:sz="8" w:space="0"/>
              <w:right w:val="single" w:color="000000" w:sz="8" w:space="0"/>
            </w:tcBorders>
            <w:shd w:val="clear" w:color="auto" w:fill="auto"/>
            <w:vAlign w:val="center"/>
          </w:tcPr>
          <w:p w14:paraId="044CC144">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6E990CBA">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0.03</w:t>
            </w:r>
          </w:p>
        </w:tc>
      </w:tr>
      <w:tr w14:paraId="1E768CB2">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1D28FB74">
            <w:pPr>
              <w:widowControl/>
              <w:jc w:val="left"/>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公务接待费</w:t>
            </w:r>
          </w:p>
        </w:tc>
        <w:tc>
          <w:tcPr>
            <w:tcW w:w="2490" w:type="dxa"/>
            <w:gridSpan w:val="3"/>
            <w:tcBorders>
              <w:top w:val="single" w:color="000000" w:sz="8" w:space="0"/>
              <w:left w:val="nil"/>
              <w:bottom w:val="single" w:color="000000" w:sz="8" w:space="0"/>
              <w:right w:val="single" w:color="000000" w:sz="8" w:space="0"/>
            </w:tcBorders>
            <w:shd w:val="clear" w:color="000000" w:fill="FFFFFF"/>
            <w:vAlign w:val="center"/>
          </w:tcPr>
          <w:p w14:paraId="3650BDD2">
            <w:pPr>
              <w:widowControl/>
              <w:jc w:val="center"/>
              <w:rPr>
                <w:rFonts w:ascii="宋体" w:hAnsi="宋体" w:eastAsia="宋体" w:cs="Tahoma"/>
                <w:color w:val="000000" w:themeColor="text1"/>
                <w:kern w:val="0"/>
                <w:szCs w:val="21"/>
                <w14:textFill>
                  <w14:solidFill>
                    <w14:schemeClr w14:val="tx1"/>
                  </w14:solidFill>
                </w14:textFill>
              </w:rPr>
            </w:pPr>
            <w:r>
              <w:rPr>
                <w:rFonts w:hint="eastAsia" w:ascii="宋体" w:hAnsi="宋体" w:eastAsia="宋体" w:cs="Tahoma"/>
                <w:color w:val="000000" w:themeColor="text1"/>
                <w:kern w:val="0"/>
                <w:szCs w:val="21"/>
                <w14:textFill>
                  <w14:solidFill>
                    <w14:schemeClr w14:val="tx1"/>
                  </w14:solidFill>
                </w14:textFill>
              </w:rPr>
              <w:t>2.45</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0029C15E">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532ECC8A">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r>
      <w:tr w14:paraId="3EA99509">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6D24FB4D">
            <w:pPr>
              <w:widowControl/>
              <w:jc w:val="lef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  </w:t>
            </w:r>
            <w:r>
              <w:rPr>
                <w:rFonts w:hint="eastAsia" w:ascii="宋体" w:hAnsi="宋体" w:eastAsia="宋体" w:cs="Times New Roman"/>
                <w:color w:val="000000"/>
                <w:kern w:val="0"/>
                <w:sz w:val="20"/>
                <w:szCs w:val="20"/>
              </w:rPr>
              <w:t>会议费、培训费、劳务费</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0CE85456">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48E7FF44">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723E25BE">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4.76</w:t>
            </w:r>
          </w:p>
        </w:tc>
      </w:tr>
      <w:tr w14:paraId="05EF93D5">
        <w:tblPrEx>
          <w:tblCellMar>
            <w:top w:w="0" w:type="dxa"/>
            <w:left w:w="108" w:type="dxa"/>
            <w:bottom w:w="0" w:type="dxa"/>
            <w:right w:w="108" w:type="dxa"/>
          </w:tblCellMar>
        </w:tblPrEx>
        <w:trPr>
          <w:trHeight w:val="340" w:hRule="atLeast"/>
        </w:trPr>
        <w:tc>
          <w:tcPr>
            <w:tcW w:w="2841" w:type="dxa"/>
            <w:tcBorders>
              <w:top w:val="nil"/>
              <w:left w:val="single" w:color="000000" w:sz="8" w:space="0"/>
              <w:bottom w:val="single" w:color="000000" w:sz="8" w:space="0"/>
              <w:right w:val="single" w:color="000000" w:sz="8" w:space="0"/>
            </w:tcBorders>
            <w:shd w:val="clear" w:color="000000" w:fill="FFFFFF"/>
            <w:vAlign w:val="center"/>
          </w:tcPr>
          <w:p w14:paraId="23ED15CB">
            <w:pPr>
              <w:widowControl/>
              <w:rPr>
                <w:rFonts w:ascii="宋体" w:hAnsi="宋体" w:eastAsia="宋体" w:cs="Tahoma"/>
                <w:color w:val="000000"/>
                <w:kern w:val="0"/>
                <w:sz w:val="22"/>
              </w:rPr>
            </w:pPr>
            <w:r>
              <w:rPr>
                <w:rFonts w:hint="eastAsia" w:ascii="宋体" w:hAnsi="宋体" w:eastAsia="宋体" w:cs="Tahoma"/>
                <w:color w:val="000000"/>
                <w:kern w:val="0"/>
                <w:sz w:val="22"/>
              </w:rPr>
              <w:t xml:space="preserve">      工会经费</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374798EC">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2.72</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0008FDCE">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2.88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5C02F0C1">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2.88</w:t>
            </w:r>
          </w:p>
        </w:tc>
      </w:tr>
      <w:tr w14:paraId="63C6A401">
        <w:tblPrEx>
          <w:tblCellMar>
            <w:top w:w="0" w:type="dxa"/>
            <w:left w:w="108" w:type="dxa"/>
            <w:bottom w:w="0" w:type="dxa"/>
            <w:right w:w="108" w:type="dxa"/>
          </w:tblCellMar>
        </w:tblPrEx>
        <w:trPr>
          <w:trHeight w:val="340" w:hRule="atLeast"/>
        </w:trPr>
        <w:tc>
          <w:tcPr>
            <w:tcW w:w="2841" w:type="dxa"/>
            <w:tcBorders>
              <w:top w:val="nil"/>
              <w:left w:val="single" w:color="000000" w:sz="8" w:space="0"/>
              <w:bottom w:val="single" w:color="000000" w:sz="8" w:space="0"/>
              <w:right w:val="single" w:color="000000" w:sz="8" w:space="0"/>
            </w:tcBorders>
            <w:shd w:val="clear" w:color="000000" w:fill="FFFFFF"/>
            <w:vAlign w:val="center"/>
          </w:tcPr>
          <w:p w14:paraId="09415BCF">
            <w:pPr>
              <w:widowControl/>
              <w:rPr>
                <w:rFonts w:ascii="宋体" w:hAnsi="宋体" w:eastAsia="宋体" w:cs="Tahoma"/>
                <w:color w:val="000000"/>
                <w:kern w:val="0"/>
                <w:sz w:val="22"/>
              </w:rPr>
            </w:pPr>
            <w:r>
              <w:rPr>
                <w:rFonts w:hint="eastAsia" w:ascii="宋体" w:hAnsi="宋体" w:eastAsia="宋体" w:cs="Tahoma"/>
                <w:color w:val="000000"/>
                <w:kern w:val="0"/>
                <w:sz w:val="22"/>
              </w:rPr>
              <w:t xml:space="preserve">      福利费</w:t>
            </w:r>
          </w:p>
        </w:tc>
        <w:tc>
          <w:tcPr>
            <w:tcW w:w="2490" w:type="dxa"/>
            <w:gridSpan w:val="3"/>
            <w:tcBorders>
              <w:top w:val="single" w:color="auto" w:sz="8" w:space="0"/>
              <w:left w:val="nil"/>
              <w:bottom w:val="single" w:color="000000" w:sz="8" w:space="0"/>
              <w:right w:val="single" w:color="000000" w:sz="8" w:space="0"/>
            </w:tcBorders>
            <w:shd w:val="clear" w:color="auto" w:fill="auto"/>
            <w:vAlign w:val="center"/>
          </w:tcPr>
          <w:p w14:paraId="65986507">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0.58</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1068B39E">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0.62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1880E380">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0.6</w:t>
            </w:r>
          </w:p>
        </w:tc>
      </w:tr>
      <w:tr w14:paraId="2580914F">
        <w:tblPrEx>
          <w:tblCellMar>
            <w:top w:w="0" w:type="dxa"/>
            <w:left w:w="108" w:type="dxa"/>
            <w:bottom w:w="0" w:type="dxa"/>
            <w:right w:w="108" w:type="dxa"/>
          </w:tblCellMar>
        </w:tblPrEx>
        <w:trPr>
          <w:trHeight w:val="340" w:hRule="atLeast"/>
        </w:trPr>
        <w:tc>
          <w:tcPr>
            <w:tcW w:w="2841" w:type="dxa"/>
            <w:tcBorders>
              <w:top w:val="single" w:color="auto" w:sz="4" w:space="0"/>
              <w:left w:val="single" w:color="auto" w:sz="4" w:space="0"/>
              <w:bottom w:val="single" w:color="auto" w:sz="4" w:space="0"/>
              <w:right w:val="single" w:color="auto" w:sz="4" w:space="0"/>
            </w:tcBorders>
            <w:shd w:val="clear" w:color="auto" w:fill="auto"/>
            <w:vAlign w:val="center"/>
          </w:tcPr>
          <w:p w14:paraId="6656C8F3">
            <w:pPr>
              <w:widowControl/>
              <w:jc w:val="center"/>
              <w:rPr>
                <w:rFonts w:ascii="Tahoma" w:hAnsi="Tahoma" w:eastAsia="宋体" w:cs="Tahoma"/>
                <w:color w:val="000000"/>
                <w:kern w:val="0"/>
                <w:sz w:val="22"/>
              </w:rPr>
            </w:pPr>
            <w:r>
              <w:rPr>
                <w:rFonts w:ascii="Tahoma" w:hAnsi="Tahoma" w:eastAsia="宋体" w:cs="Tahoma"/>
                <w:color w:val="000000"/>
                <w:kern w:val="0"/>
                <w:sz w:val="22"/>
              </w:rPr>
              <w:t xml:space="preserve">  其他交通费用</w:t>
            </w:r>
          </w:p>
        </w:tc>
        <w:tc>
          <w:tcPr>
            <w:tcW w:w="2490" w:type="dxa"/>
            <w:gridSpan w:val="3"/>
            <w:tcBorders>
              <w:top w:val="single" w:color="000000" w:sz="8" w:space="0"/>
              <w:left w:val="single" w:color="000000" w:sz="8" w:space="0"/>
              <w:bottom w:val="single" w:color="000000" w:sz="8" w:space="0"/>
              <w:right w:val="single" w:color="000000" w:sz="8" w:space="0"/>
            </w:tcBorders>
            <w:shd w:val="clear" w:color="000000" w:fill="FFFFFF"/>
            <w:vAlign w:val="center"/>
          </w:tcPr>
          <w:p w14:paraId="2483FABB">
            <w:pPr>
              <w:widowControl/>
              <w:jc w:val="center"/>
              <w:rPr>
                <w:rFonts w:ascii="宋体" w:hAnsi="宋体" w:eastAsia="宋体" w:cs="Tahoma"/>
                <w:color w:val="000000" w:themeColor="text1"/>
                <w:kern w:val="0"/>
                <w:szCs w:val="21"/>
                <w14:textFill>
                  <w14:solidFill>
                    <w14:schemeClr w14:val="tx1"/>
                  </w14:solidFill>
                </w14:textFill>
              </w:rPr>
            </w:pPr>
            <w:r>
              <w:rPr>
                <w:rFonts w:hint="eastAsia" w:ascii="宋体" w:hAnsi="宋体" w:eastAsia="宋体" w:cs="Tahoma"/>
                <w:color w:val="000000" w:themeColor="text1"/>
                <w:kern w:val="0"/>
                <w:szCs w:val="21"/>
                <w14:textFill>
                  <w14:solidFill>
                    <w14:schemeClr w14:val="tx1"/>
                  </w14:solidFill>
                </w14:textFill>
              </w:rPr>
              <w:t>27.25</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43F62FE3">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27.44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1D304F6A">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27.93</w:t>
            </w:r>
          </w:p>
        </w:tc>
      </w:tr>
      <w:tr w14:paraId="453B2888">
        <w:tblPrEx>
          <w:tblCellMar>
            <w:top w:w="0" w:type="dxa"/>
            <w:left w:w="108" w:type="dxa"/>
            <w:bottom w:w="0" w:type="dxa"/>
            <w:right w:w="108" w:type="dxa"/>
          </w:tblCellMar>
        </w:tblPrEx>
        <w:trPr>
          <w:trHeight w:val="340" w:hRule="atLeast"/>
        </w:trPr>
        <w:tc>
          <w:tcPr>
            <w:tcW w:w="2841" w:type="dxa"/>
            <w:tcBorders>
              <w:top w:val="nil"/>
              <w:left w:val="single" w:color="000000" w:sz="8" w:space="0"/>
              <w:bottom w:val="single" w:color="000000" w:sz="8" w:space="0"/>
              <w:right w:val="single" w:color="000000" w:sz="8" w:space="0"/>
            </w:tcBorders>
            <w:shd w:val="clear" w:color="000000" w:fill="FFFFFF"/>
            <w:vAlign w:val="center"/>
          </w:tcPr>
          <w:p w14:paraId="2746BF5E">
            <w:pPr>
              <w:widowControl/>
              <w:rPr>
                <w:rFonts w:ascii="宋体" w:hAnsi="宋体" w:eastAsia="宋体" w:cs="Tahoma"/>
                <w:color w:val="000000"/>
                <w:kern w:val="0"/>
                <w:sz w:val="22"/>
              </w:rPr>
            </w:pPr>
            <w:r>
              <w:rPr>
                <w:rFonts w:hint="eastAsia" w:ascii="宋体" w:hAnsi="宋体" w:eastAsia="宋体" w:cs="Tahoma"/>
                <w:color w:val="000000"/>
                <w:kern w:val="0"/>
                <w:sz w:val="22"/>
              </w:rPr>
              <w:t xml:space="preserve">  其他商品和服务支出</w:t>
            </w:r>
          </w:p>
        </w:tc>
        <w:tc>
          <w:tcPr>
            <w:tcW w:w="2490" w:type="dxa"/>
            <w:gridSpan w:val="3"/>
            <w:tcBorders>
              <w:top w:val="single" w:color="000000" w:sz="8" w:space="0"/>
              <w:left w:val="nil"/>
              <w:bottom w:val="single" w:color="auto" w:sz="8" w:space="0"/>
              <w:right w:val="single" w:color="000000" w:sz="8" w:space="0"/>
            </w:tcBorders>
            <w:shd w:val="clear" w:color="auto" w:fill="auto"/>
            <w:vAlign w:val="center"/>
          </w:tcPr>
          <w:p w14:paraId="472F8F1A">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24.97</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79A93272">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 xml:space="preserve">52.00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1706A35C">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48.41</w:t>
            </w:r>
          </w:p>
        </w:tc>
      </w:tr>
      <w:tr w14:paraId="3B1A6029">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4E115E63">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政府采购金额</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7E5BEE33">
            <w:pPr>
              <w:widowControl/>
              <w:jc w:val="center"/>
              <w:rPr>
                <w:rFonts w:ascii="Times New Roman" w:hAnsi="Times New Roman" w:eastAsia="宋体" w:cs="Times New Roman"/>
                <w:color w:val="000000" w:themeColor="text1"/>
                <w:kern w:val="0"/>
                <w:sz w:val="20"/>
                <w:szCs w:val="20"/>
                <w14:textFill>
                  <w14:solidFill>
                    <w14:schemeClr w14:val="tx1"/>
                  </w14:solidFill>
                </w14:textFill>
              </w:rPr>
            </w:pPr>
            <w:r>
              <w:rPr>
                <w:rFonts w:ascii="Times New Roman" w:hAnsi="Times New Roman" w:eastAsia="宋体" w:cs="Times New Roman"/>
                <w:color w:val="000000" w:themeColor="text1"/>
                <w:kern w:val="0"/>
                <w:sz w:val="20"/>
                <w:szCs w:val="20"/>
                <w14:textFill>
                  <w14:solidFill>
                    <w14:schemeClr w14:val="tx1"/>
                  </w14:solidFill>
                </w14:textFill>
              </w:rPr>
              <w:t>——</w:t>
            </w: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144806A9">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101.32　</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2F4E70C6">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94.00　</w:t>
            </w:r>
          </w:p>
        </w:tc>
      </w:tr>
      <w:tr w14:paraId="05273E61">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61DEC723">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部门整体支出预算调整</w:t>
            </w:r>
            <w:r>
              <w:rPr>
                <w:rFonts w:ascii="Times New Roman" w:hAnsi="Times New Roman" w:eastAsia="宋体" w:cs="Times New Roman"/>
                <w:color w:val="000000"/>
                <w:kern w:val="0"/>
                <w:sz w:val="20"/>
                <w:szCs w:val="20"/>
              </w:rPr>
              <w:t xml:space="preserve"> </w:t>
            </w:r>
          </w:p>
        </w:tc>
        <w:tc>
          <w:tcPr>
            <w:tcW w:w="2490" w:type="dxa"/>
            <w:gridSpan w:val="3"/>
            <w:tcBorders>
              <w:top w:val="single" w:color="auto" w:sz="8" w:space="0"/>
              <w:left w:val="nil"/>
              <w:bottom w:val="single" w:color="auto" w:sz="8" w:space="0"/>
              <w:right w:val="single" w:color="000000" w:sz="8" w:space="0"/>
            </w:tcBorders>
            <w:shd w:val="clear" w:color="auto" w:fill="auto"/>
            <w:vAlign w:val="center"/>
          </w:tcPr>
          <w:p w14:paraId="0E9BADC4">
            <w:pPr>
              <w:widowControl/>
              <w:jc w:val="center"/>
              <w:rPr>
                <w:rFonts w:ascii="Times New Roman" w:hAnsi="Times New Roman" w:eastAsia="宋体" w:cs="Times New Roman"/>
                <w:color w:val="000000" w:themeColor="text1"/>
                <w:kern w:val="0"/>
                <w:sz w:val="20"/>
                <w:szCs w:val="20"/>
                <w14:textFill>
                  <w14:solidFill>
                    <w14:schemeClr w14:val="tx1"/>
                  </w14:solidFill>
                </w14:textFill>
              </w:rPr>
            </w:pPr>
          </w:p>
        </w:tc>
        <w:tc>
          <w:tcPr>
            <w:tcW w:w="1581" w:type="dxa"/>
            <w:gridSpan w:val="3"/>
            <w:tcBorders>
              <w:top w:val="single" w:color="auto" w:sz="8" w:space="0"/>
              <w:left w:val="nil"/>
              <w:bottom w:val="single" w:color="auto" w:sz="8" w:space="0"/>
              <w:right w:val="single" w:color="000000" w:sz="8" w:space="0"/>
            </w:tcBorders>
            <w:shd w:val="clear" w:color="auto" w:fill="auto"/>
            <w:vAlign w:val="center"/>
          </w:tcPr>
          <w:p w14:paraId="6BF6DBA7">
            <w:pPr>
              <w:jc w:val="center"/>
              <w:rPr>
                <w:rFonts w:ascii="宋体" w:hAnsi="宋体" w:eastAsia="宋体" w:cs="Tahoma"/>
                <w:color w:val="000000"/>
                <w:sz w:val="20"/>
                <w:szCs w:val="20"/>
              </w:rPr>
            </w:pPr>
            <w:r>
              <w:rPr>
                <w:rFonts w:hint="eastAsia" w:cs="Tahoma"/>
                <w:color w:val="000000"/>
                <w:sz w:val="20"/>
                <w:szCs w:val="20"/>
              </w:rPr>
              <w:t>116.63</w:t>
            </w:r>
          </w:p>
        </w:tc>
        <w:tc>
          <w:tcPr>
            <w:tcW w:w="1616" w:type="dxa"/>
            <w:gridSpan w:val="2"/>
            <w:tcBorders>
              <w:top w:val="single" w:color="auto" w:sz="8" w:space="0"/>
              <w:left w:val="nil"/>
              <w:bottom w:val="single" w:color="auto" w:sz="8" w:space="0"/>
              <w:right w:val="single" w:color="000000" w:sz="8" w:space="0"/>
            </w:tcBorders>
            <w:shd w:val="clear" w:color="auto" w:fill="auto"/>
            <w:vAlign w:val="center"/>
          </w:tcPr>
          <w:p w14:paraId="7A00DD49">
            <w:pPr>
              <w:jc w:val="center"/>
              <w:rPr>
                <w:rFonts w:ascii="宋体" w:hAnsi="宋体" w:eastAsia="宋体" w:cs="Tahoma"/>
                <w:color w:val="000000"/>
                <w:sz w:val="20"/>
                <w:szCs w:val="20"/>
              </w:rPr>
            </w:pPr>
          </w:p>
        </w:tc>
      </w:tr>
      <w:tr w14:paraId="7ADFEDD9">
        <w:tblPrEx>
          <w:tblCellMar>
            <w:top w:w="0" w:type="dxa"/>
            <w:left w:w="108" w:type="dxa"/>
            <w:bottom w:w="0" w:type="dxa"/>
            <w:right w:w="108" w:type="dxa"/>
          </w:tblCellMar>
        </w:tblPrEx>
        <w:trPr>
          <w:trHeight w:val="340" w:hRule="atLeast"/>
        </w:trPr>
        <w:tc>
          <w:tcPr>
            <w:tcW w:w="2841" w:type="dxa"/>
            <w:tcBorders>
              <w:top w:val="nil"/>
              <w:left w:val="single" w:color="auto" w:sz="8" w:space="0"/>
              <w:bottom w:val="nil"/>
              <w:right w:val="single" w:color="auto" w:sz="8" w:space="0"/>
            </w:tcBorders>
            <w:shd w:val="clear" w:color="auto" w:fill="auto"/>
            <w:vAlign w:val="center"/>
          </w:tcPr>
          <w:p w14:paraId="3045E780">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楼堂馆所控制情况</w:t>
            </w:r>
          </w:p>
        </w:tc>
        <w:tc>
          <w:tcPr>
            <w:tcW w:w="1235" w:type="dxa"/>
            <w:gridSpan w:val="2"/>
            <w:tcBorders>
              <w:top w:val="nil"/>
              <w:left w:val="nil"/>
              <w:bottom w:val="nil"/>
              <w:right w:val="single" w:color="auto" w:sz="8" w:space="0"/>
            </w:tcBorders>
            <w:shd w:val="clear" w:color="auto" w:fill="auto"/>
            <w:vAlign w:val="center"/>
          </w:tcPr>
          <w:p w14:paraId="767F685B">
            <w:pPr>
              <w:widowControl/>
              <w:jc w:val="center"/>
              <w:textAlignment w:val="center"/>
              <w:rPr>
                <w:rFonts w:ascii="宋体" w:hAnsi="宋体" w:eastAsia="宋体" w:cs="宋体"/>
                <w:b/>
                <w:color w:val="000000"/>
                <w:kern w:val="0"/>
                <w:sz w:val="18"/>
                <w:szCs w:val="18"/>
              </w:rPr>
            </w:pPr>
            <w:r>
              <w:rPr>
                <w:rFonts w:hint="eastAsia" w:ascii="宋体" w:hAnsi="宋体" w:eastAsia="宋体" w:cs="宋体"/>
                <w:b/>
                <w:color w:val="000000"/>
                <w:kern w:val="0"/>
                <w:sz w:val="18"/>
                <w:szCs w:val="18"/>
              </w:rPr>
              <w:t>批复规模（㎡）</w:t>
            </w:r>
          </w:p>
        </w:tc>
        <w:tc>
          <w:tcPr>
            <w:tcW w:w="1255" w:type="dxa"/>
            <w:tcBorders>
              <w:top w:val="nil"/>
              <w:left w:val="nil"/>
              <w:bottom w:val="nil"/>
              <w:right w:val="single" w:color="auto" w:sz="8" w:space="0"/>
            </w:tcBorders>
            <w:shd w:val="clear" w:color="auto" w:fill="auto"/>
            <w:vAlign w:val="center"/>
          </w:tcPr>
          <w:p w14:paraId="4230BDE2">
            <w:pPr>
              <w:widowControl/>
              <w:jc w:val="center"/>
              <w:textAlignment w:val="center"/>
              <w:rPr>
                <w:rFonts w:ascii="宋体" w:hAnsi="宋体" w:eastAsia="宋体" w:cs="宋体"/>
                <w:b/>
                <w:color w:val="000000"/>
                <w:kern w:val="0"/>
                <w:sz w:val="18"/>
                <w:szCs w:val="18"/>
              </w:rPr>
            </w:pPr>
            <w:r>
              <w:rPr>
                <w:rFonts w:hint="eastAsia" w:ascii="宋体" w:hAnsi="宋体" w:eastAsia="宋体" w:cs="宋体"/>
                <w:b/>
                <w:color w:val="000000"/>
                <w:kern w:val="0"/>
                <w:sz w:val="18"/>
                <w:szCs w:val="18"/>
              </w:rPr>
              <w:t>实际规模（㎡）</w:t>
            </w:r>
          </w:p>
        </w:tc>
        <w:tc>
          <w:tcPr>
            <w:tcW w:w="732" w:type="dxa"/>
            <w:gridSpan w:val="2"/>
            <w:tcBorders>
              <w:top w:val="nil"/>
              <w:left w:val="single" w:color="auto" w:sz="8" w:space="0"/>
              <w:bottom w:val="single" w:color="000000" w:sz="8" w:space="0"/>
              <w:right w:val="single" w:color="auto" w:sz="8" w:space="0"/>
            </w:tcBorders>
            <w:shd w:val="clear" w:color="auto" w:fill="auto"/>
            <w:vAlign w:val="center"/>
          </w:tcPr>
          <w:p w14:paraId="2A3947BF">
            <w:pPr>
              <w:widowControl/>
              <w:jc w:val="center"/>
              <w:textAlignment w:val="center"/>
              <w:rPr>
                <w:rFonts w:ascii="宋体" w:hAnsi="宋体" w:eastAsia="宋体" w:cs="宋体"/>
                <w:b/>
                <w:color w:val="000000"/>
                <w:kern w:val="0"/>
                <w:sz w:val="18"/>
                <w:szCs w:val="18"/>
              </w:rPr>
            </w:pPr>
            <w:r>
              <w:rPr>
                <w:rFonts w:hint="eastAsia" w:ascii="宋体" w:hAnsi="宋体" w:eastAsia="宋体" w:cs="宋体"/>
                <w:b/>
                <w:color w:val="000000"/>
                <w:kern w:val="0"/>
                <w:sz w:val="18"/>
                <w:szCs w:val="18"/>
              </w:rPr>
              <w:t>规模控制率</w:t>
            </w:r>
          </w:p>
        </w:tc>
        <w:tc>
          <w:tcPr>
            <w:tcW w:w="849" w:type="dxa"/>
            <w:tcBorders>
              <w:top w:val="nil"/>
              <w:left w:val="nil"/>
              <w:bottom w:val="nil"/>
              <w:right w:val="single" w:color="auto" w:sz="8" w:space="0"/>
            </w:tcBorders>
            <w:shd w:val="clear" w:color="auto" w:fill="auto"/>
            <w:vAlign w:val="center"/>
          </w:tcPr>
          <w:p w14:paraId="17D84036">
            <w:pPr>
              <w:widowControl/>
              <w:jc w:val="center"/>
              <w:textAlignment w:val="center"/>
              <w:rPr>
                <w:rFonts w:ascii="宋体" w:hAnsi="宋体" w:eastAsia="宋体" w:cs="宋体"/>
                <w:b/>
                <w:color w:val="000000"/>
                <w:kern w:val="0"/>
                <w:sz w:val="18"/>
                <w:szCs w:val="18"/>
              </w:rPr>
            </w:pPr>
            <w:r>
              <w:rPr>
                <w:rFonts w:hint="eastAsia" w:ascii="宋体" w:hAnsi="宋体" w:eastAsia="宋体" w:cs="宋体"/>
                <w:b/>
                <w:color w:val="000000"/>
                <w:kern w:val="0"/>
                <w:sz w:val="18"/>
                <w:szCs w:val="18"/>
              </w:rPr>
              <w:t>预算投资（万元）</w:t>
            </w:r>
          </w:p>
        </w:tc>
        <w:tc>
          <w:tcPr>
            <w:tcW w:w="709" w:type="dxa"/>
            <w:tcBorders>
              <w:top w:val="nil"/>
              <w:left w:val="nil"/>
              <w:bottom w:val="nil"/>
              <w:right w:val="single" w:color="auto" w:sz="8" w:space="0"/>
            </w:tcBorders>
            <w:shd w:val="clear" w:color="auto" w:fill="auto"/>
            <w:vAlign w:val="center"/>
          </w:tcPr>
          <w:p w14:paraId="6E79675B">
            <w:pPr>
              <w:widowControl/>
              <w:jc w:val="center"/>
              <w:textAlignment w:val="center"/>
              <w:rPr>
                <w:rFonts w:ascii="宋体" w:hAnsi="宋体" w:eastAsia="宋体" w:cs="宋体"/>
                <w:b/>
                <w:color w:val="000000"/>
                <w:kern w:val="0"/>
                <w:sz w:val="18"/>
                <w:szCs w:val="18"/>
              </w:rPr>
            </w:pPr>
            <w:r>
              <w:rPr>
                <w:rFonts w:hint="eastAsia" w:ascii="宋体" w:hAnsi="宋体" w:eastAsia="宋体" w:cs="宋体"/>
                <w:b/>
                <w:color w:val="000000"/>
                <w:kern w:val="0"/>
                <w:sz w:val="18"/>
                <w:szCs w:val="18"/>
              </w:rPr>
              <w:t>投资（万元）</w:t>
            </w:r>
          </w:p>
        </w:tc>
        <w:tc>
          <w:tcPr>
            <w:tcW w:w="907" w:type="dxa"/>
            <w:tcBorders>
              <w:top w:val="nil"/>
              <w:left w:val="nil"/>
              <w:bottom w:val="nil"/>
              <w:right w:val="single" w:color="auto" w:sz="8" w:space="0"/>
            </w:tcBorders>
            <w:shd w:val="clear" w:color="auto" w:fill="auto"/>
            <w:vAlign w:val="center"/>
          </w:tcPr>
          <w:p w14:paraId="444ACC27">
            <w:pPr>
              <w:widowControl/>
              <w:jc w:val="center"/>
              <w:textAlignment w:val="center"/>
              <w:rPr>
                <w:rFonts w:ascii="宋体" w:hAnsi="宋体" w:eastAsia="宋体" w:cs="宋体"/>
                <w:b/>
                <w:color w:val="000000"/>
                <w:kern w:val="0"/>
                <w:sz w:val="18"/>
                <w:szCs w:val="18"/>
              </w:rPr>
            </w:pPr>
            <w:r>
              <w:rPr>
                <w:rFonts w:hint="eastAsia" w:ascii="宋体" w:hAnsi="宋体" w:eastAsia="宋体" w:cs="宋体"/>
                <w:b/>
                <w:color w:val="000000"/>
                <w:kern w:val="0"/>
                <w:sz w:val="18"/>
                <w:szCs w:val="18"/>
              </w:rPr>
              <w:t>投资概算控制率</w:t>
            </w:r>
          </w:p>
        </w:tc>
      </w:tr>
      <w:tr w14:paraId="4C674C53">
        <w:tblPrEx>
          <w:tblCellMar>
            <w:top w:w="0" w:type="dxa"/>
            <w:left w:w="108" w:type="dxa"/>
            <w:bottom w:w="0" w:type="dxa"/>
            <w:right w:w="108" w:type="dxa"/>
          </w:tblCellMar>
        </w:tblPrEx>
        <w:trPr>
          <w:trHeight w:val="340" w:hRule="atLeast"/>
        </w:trPr>
        <w:tc>
          <w:tcPr>
            <w:tcW w:w="2841" w:type="dxa"/>
            <w:tcBorders>
              <w:top w:val="nil"/>
              <w:left w:val="single" w:color="auto" w:sz="8" w:space="0"/>
              <w:bottom w:val="single" w:color="auto" w:sz="8" w:space="0"/>
              <w:right w:val="single" w:color="auto" w:sz="8" w:space="0"/>
            </w:tcBorders>
            <w:shd w:val="clear" w:color="auto" w:fill="auto"/>
            <w:vAlign w:val="center"/>
          </w:tcPr>
          <w:p w14:paraId="61005A2C">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厉行节约保障措施</w:t>
            </w:r>
          </w:p>
        </w:tc>
        <w:tc>
          <w:tcPr>
            <w:tcW w:w="5687" w:type="dxa"/>
            <w:gridSpan w:val="8"/>
            <w:tcBorders>
              <w:top w:val="single" w:color="auto" w:sz="8" w:space="0"/>
              <w:left w:val="nil"/>
              <w:bottom w:val="single" w:color="auto" w:sz="8" w:space="0"/>
              <w:right w:val="single" w:color="000000" w:sz="8" w:space="0"/>
            </w:tcBorders>
            <w:shd w:val="clear" w:color="auto" w:fill="auto"/>
            <w:vAlign w:val="center"/>
          </w:tcPr>
          <w:p w14:paraId="6231AF3C">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根据《中华人民共和国会计法》、《中华人民共和国预算法》等法律和市财政局有关财务规章的规定，政研室制订了《中共长沙市委政策研究室制度汇编》，对各处室经费报账作出明确要求；对资产的配置、处置、管理和清查进行了规范。针对“三公”经费的管理，分别制订了《市委政研室（改革办）经费和公务活动管理办法》，明确了相应原则和要求、开支范围、程序、办法及标准、审批权限等。上述制度规定基本得到执行。</w:t>
            </w:r>
          </w:p>
        </w:tc>
      </w:tr>
    </w:tbl>
    <w:p w14:paraId="0998341A">
      <w:pPr>
        <w:widowControl/>
        <w:textAlignment w:val="center"/>
        <w:rPr>
          <w:rFonts w:ascii="宋体" w:hAnsi="宋体" w:eastAsia="宋体" w:cs="宋体"/>
          <w:b/>
          <w:bCs/>
          <w:kern w:val="0"/>
          <w:szCs w:val="21"/>
        </w:rPr>
        <w:sectPr>
          <w:pgSz w:w="11906" w:h="16838"/>
          <w:pgMar w:top="1440" w:right="1797" w:bottom="1440" w:left="1797" w:header="851" w:footer="992" w:gutter="0"/>
          <w:pgNumType w:start="1"/>
          <w:cols w:space="425" w:num="1"/>
          <w:titlePg/>
          <w:docGrid w:type="linesAndChars" w:linePitch="312" w:charSpace="0"/>
        </w:sectPr>
      </w:pPr>
    </w:p>
    <w:p w14:paraId="2B0E13FA">
      <w:pPr>
        <w:widowControl/>
        <w:spacing w:line="360" w:lineRule="auto"/>
        <w:jc w:val="left"/>
        <w:rPr>
          <w:rFonts w:ascii="宋体" w:hAnsi="宋体" w:eastAsia="宋体"/>
          <w:sz w:val="28"/>
          <w:szCs w:val="28"/>
        </w:rPr>
      </w:pPr>
    </w:p>
    <w:p w14:paraId="2CA810A8">
      <w:pPr>
        <w:spacing w:line="360" w:lineRule="auto"/>
        <w:ind w:firstLine="560" w:firstLineChars="200"/>
        <w:rPr>
          <w:rFonts w:ascii="宋体" w:hAnsi="宋体" w:eastAsia="宋体"/>
          <w:sz w:val="28"/>
          <w:szCs w:val="28"/>
        </w:rPr>
      </w:pPr>
      <w:r>
        <w:rPr>
          <w:rFonts w:hint="eastAsia" w:ascii="宋体" w:hAnsi="宋体" w:eastAsia="宋体"/>
          <w:sz w:val="28"/>
          <w:szCs w:val="28"/>
        </w:rPr>
        <w:t>附表二                         部门整体支出绩效评价指标表</w:t>
      </w:r>
    </w:p>
    <w:tbl>
      <w:tblPr>
        <w:tblStyle w:val="17"/>
        <w:tblW w:w="14190" w:type="dxa"/>
        <w:tblInd w:w="93" w:type="dxa"/>
        <w:tblLayout w:type="fixed"/>
        <w:tblCellMar>
          <w:top w:w="0" w:type="dxa"/>
          <w:left w:w="108" w:type="dxa"/>
          <w:bottom w:w="0" w:type="dxa"/>
          <w:right w:w="108" w:type="dxa"/>
        </w:tblCellMar>
      </w:tblPr>
      <w:tblGrid>
        <w:gridCol w:w="1415"/>
        <w:gridCol w:w="985"/>
        <w:gridCol w:w="1265"/>
        <w:gridCol w:w="845"/>
        <w:gridCol w:w="1825"/>
        <w:gridCol w:w="846"/>
        <w:gridCol w:w="6287"/>
        <w:gridCol w:w="722"/>
      </w:tblGrid>
      <w:tr w14:paraId="3DD95F08">
        <w:tblPrEx>
          <w:tblCellMar>
            <w:top w:w="0" w:type="dxa"/>
            <w:left w:w="108" w:type="dxa"/>
            <w:bottom w:w="0" w:type="dxa"/>
            <w:right w:w="108" w:type="dxa"/>
          </w:tblCellMar>
        </w:tblPrEx>
        <w:trPr>
          <w:trHeight w:val="285" w:hRule="atLeast"/>
          <w:tblHeader/>
        </w:trPr>
        <w:tc>
          <w:tcPr>
            <w:tcW w:w="1415"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322396AB">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一级指标</w:t>
            </w:r>
          </w:p>
        </w:tc>
        <w:tc>
          <w:tcPr>
            <w:tcW w:w="985"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73F03458">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分值</w:t>
            </w:r>
          </w:p>
        </w:tc>
        <w:tc>
          <w:tcPr>
            <w:tcW w:w="1265"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7B55F821">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二级指标</w:t>
            </w:r>
          </w:p>
        </w:tc>
        <w:tc>
          <w:tcPr>
            <w:tcW w:w="845"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610CB0C7">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分值</w:t>
            </w:r>
          </w:p>
        </w:tc>
        <w:tc>
          <w:tcPr>
            <w:tcW w:w="1825" w:type="dxa"/>
            <w:tcBorders>
              <w:top w:val="single" w:color="auto" w:sz="8" w:space="0"/>
              <w:left w:val="nil"/>
              <w:bottom w:val="nil"/>
              <w:right w:val="single" w:color="auto" w:sz="8" w:space="0"/>
            </w:tcBorders>
            <w:shd w:val="clear" w:color="auto" w:fill="auto"/>
            <w:vAlign w:val="center"/>
          </w:tcPr>
          <w:p w14:paraId="4F8A910B">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三级</w:t>
            </w:r>
          </w:p>
        </w:tc>
        <w:tc>
          <w:tcPr>
            <w:tcW w:w="846"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63086913">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分值</w:t>
            </w:r>
          </w:p>
        </w:tc>
        <w:tc>
          <w:tcPr>
            <w:tcW w:w="6287"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226990BE">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评价标准</w:t>
            </w:r>
          </w:p>
        </w:tc>
        <w:tc>
          <w:tcPr>
            <w:tcW w:w="722"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52F89ECD">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得分</w:t>
            </w:r>
          </w:p>
        </w:tc>
      </w:tr>
      <w:tr w14:paraId="53009831">
        <w:tblPrEx>
          <w:tblCellMar>
            <w:top w:w="0" w:type="dxa"/>
            <w:left w:w="108" w:type="dxa"/>
            <w:bottom w:w="0" w:type="dxa"/>
            <w:right w:w="108" w:type="dxa"/>
          </w:tblCellMar>
        </w:tblPrEx>
        <w:trPr>
          <w:trHeight w:val="300" w:hRule="atLeast"/>
          <w:tblHeader/>
        </w:trPr>
        <w:tc>
          <w:tcPr>
            <w:tcW w:w="1415" w:type="dxa"/>
            <w:vMerge w:val="continue"/>
            <w:tcBorders>
              <w:top w:val="single" w:color="auto" w:sz="8" w:space="0"/>
              <w:left w:val="single" w:color="auto" w:sz="8" w:space="0"/>
              <w:bottom w:val="single" w:color="000000" w:sz="8" w:space="0"/>
              <w:right w:val="single" w:color="auto" w:sz="8" w:space="0"/>
            </w:tcBorders>
            <w:vAlign w:val="center"/>
          </w:tcPr>
          <w:p w14:paraId="35DD69F5">
            <w:pPr>
              <w:widowControl/>
              <w:jc w:val="left"/>
              <w:rPr>
                <w:rFonts w:ascii="黑体" w:hAnsi="黑体" w:eastAsia="黑体" w:cs="Tahoma"/>
                <w:color w:val="000000"/>
                <w:kern w:val="0"/>
                <w:sz w:val="20"/>
                <w:szCs w:val="20"/>
              </w:rPr>
            </w:pPr>
          </w:p>
        </w:tc>
        <w:tc>
          <w:tcPr>
            <w:tcW w:w="985" w:type="dxa"/>
            <w:vMerge w:val="continue"/>
            <w:tcBorders>
              <w:top w:val="single" w:color="auto" w:sz="8" w:space="0"/>
              <w:left w:val="single" w:color="auto" w:sz="8" w:space="0"/>
              <w:bottom w:val="single" w:color="000000" w:sz="8" w:space="0"/>
              <w:right w:val="single" w:color="auto" w:sz="8" w:space="0"/>
            </w:tcBorders>
            <w:vAlign w:val="center"/>
          </w:tcPr>
          <w:p w14:paraId="07B51009">
            <w:pPr>
              <w:widowControl/>
              <w:jc w:val="left"/>
              <w:rPr>
                <w:rFonts w:ascii="黑体" w:hAnsi="黑体" w:eastAsia="黑体" w:cs="Tahoma"/>
                <w:color w:val="000000"/>
                <w:kern w:val="0"/>
                <w:sz w:val="20"/>
                <w:szCs w:val="20"/>
              </w:rPr>
            </w:pPr>
          </w:p>
        </w:tc>
        <w:tc>
          <w:tcPr>
            <w:tcW w:w="1265" w:type="dxa"/>
            <w:vMerge w:val="continue"/>
            <w:tcBorders>
              <w:top w:val="single" w:color="auto" w:sz="8" w:space="0"/>
              <w:left w:val="single" w:color="auto" w:sz="8" w:space="0"/>
              <w:bottom w:val="single" w:color="000000" w:sz="8" w:space="0"/>
              <w:right w:val="single" w:color="auto" w:sz="8" w:space="0"/>
            </w:tcBorders>
            <w:vAlign w:val="center"/>
          </w:tcPr>
          <w:p w14:paraId="4F620F18">
            <w:pPr>
              <w:widowControl/>
              <w:jc w:val="left"/>
              <w:rPr>
                <w:rFonts w:ascii="黑体" w:hAnsi="黑体" w:eastAsia="黑体" w:cs="Tahoma"/>
                <w:color w:val="000000"/>
                <w:kern w:val="0"/>
                <w:sz w:val="20"/>
                <w:szCs w:val="20"/>
              </w:rPr>
            </w:pPr>
          </w:p>
        </w:tc>
        <w:tc>
          <w:tcPr>
            <w:tcW w:w="845" w:type="dxa"/>
            <w:vMerge w:val="continue"/>
            <w:tcBorders>
              <w:top w:val="single" w:color="auto" w:sz="8" w:space="0"/>
              <w:left w:val="single" w:color="auto" w:sz="8" w:space="0"/>
              <w:bottom w:val="single" w:color="000000" w:sz="8" w:space="0"/>
              <w:right w:val="single" w:color="auto" w:sz="8" w:space="0"/>
            </w:tcBorders>
            <w:vAlign w:val="center"/>
          </w:tcPr>
          <w:p w14:paraId="383EDCFB">
            <w:pPr>
              <w:widowControl/>
              <w:jc w:val="left"/>
              <w:rPr>
                <w:rFonts w:ascii="黑体" w:hAnsi="黑体" w:eastAsia="黑体" w:cs="Tahoma"/>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7754CB05">
            <w:pPr>
              <w:widowControl/>
              <w:jc w:val="center"/>
              <w:rPr>
                <w:rFonts w:ascii="黑体" w:hAnsi="黑体" w:eastAsia="黑体" w:cs="Tahoma"/>
                <w:color w:val="000000"/>
                <w:kern w:val="0"/>
                <w:sz w:val="20"/>
                <w:szCs w:val="20"/>
              </w:rPr>
            </w:pPr>
            <w:r>
              <w:rPr>
                <w:rFonts w:hint="eastAsia" w:ascii="黑体" w:hAnsi="黑体" w:eastAsia="黑体" w:cs="Tahoma"/>
                <w:color w:val="000000"/>
                <w:kern w:val="0"/>
                <w:sz w:val="20"/>
                <w:szCs w:val="20"/>
              </w:rPr>
              <w:t>指标</w:t>
            </w:r>
          </w:p>
        </w:tc>
        <w:tc>
          <w:tcPr>
            <w:tcW w:w="846" w:type="dxa"/>
            <w:vMerge w:val="continue"/>
            <w:tcBorders>
              <w:top w:val="single" w:color="auto" w:sz="8" w:space="0"/>
              <w:left w:val="single" w:color="auto" w:sz="8" w:space="0"/>
              <w:bottom w:val="single" w:color="000000" w:sz="8" w:space="0"/>
              <w:right w:val="single" w:color="auto" w:sz="8" w:space="0"/>
            </w:tcBorders>
            <w:vAlign w:val="center"/>
          </w:tcPr>
          <w:p w14:paraId="7278E230">
            <w:pPr>
              <w:widowControl/>
              <w:jc w:val="left"/>
              <w:rPr>
                <w:rFonts w:ascii="黑体" w:hAnsi="黑体" w:eastAsia="黑体" w:cs="Tahoma"/>
                <w:color w:val="000000"/>
                <w:kern w:val="0"/>
                <w:sz w:val="20"/>
                <w:szCs w:val="20"/>
              </w:rPr>
            </w:pPr>
          </w:p>
        </w:tc>
        <w:tc>
          <w:tcPr>
            <w:tcW w:w="6287" w:type="dxa"/>
            <w:vMerge w:val="continue"/>
            <w:tcBorders>
              <w:top w:val="single" w:color="auto" w:sz="8" w:space="0"/>
              <w:left w:val="single" w:color="auto" w:sz="8" w:space="0"/>
              <w:bottom w:val="single" w:color="000000" w:sz="8" w:space="0"/>
              <w:right w:val="single" w:color="auto" w:sz="8" w:space="0"/>
            </w:tcBorders>
            <w:vAlign w:val="center"/>
          </w:tcPr>
          <w:p w14:paraId="4B36EC4B">
            <w:pPr>
              <w:widowControl/>
              <w:jc w:val="left"/>
              <w:rPr>
                <w:rFonts w:ascii="黑体" w:hAnsi="黑体" w:eastAsia="黑体" w:cs="Tahoma"/>
                <w:color w:val="000000"/>
                <w:kern w:val="0"/>
                <w:sz w:val="20"/>
                <w:szCs w:val="20"/>
              </w:rPr>
            </w:pPr>
          </w:p>
        </w:tc>
        <w:tc>
          <w:tcPr>
            <w:tcW w:w="722" w:type="dxa"/>
            <w:vMerge w:val="continue"/>
            <w:tcBorders>
              <w:top w:val="single" w:color="auto" w:sz="8" w:space="0"/>
              <w:left w:val="single" w:color="auto" w:sz="8" w:space="0"/>
              <w:bottom w:val="single" w:color="000000" w:sz="8" w:space="0"/>
              <w:right w:val="single" w:color="auto" w:sz="8" w:space="0"/>
            </w:tcBorders>
            <w:vAlign w:val="center"/>
          </w:tcPr>
          <w:p w14:paraId="3AA90ECB">
            <w:pPr>
              <w:widowControl/>
              <w:jc w:val="left"/>
              <w:rPr>
                <w:rFonts w:ascii="黑体" w:hAnsi="黑体" w:eastAsia="黑体" w:cs="Tahoma"/>
                <w:color w:val="000000"/>
                <w:kern w:val="0"/>
                <w:sz w:val="20"/>
                <w:szCs w:val="20"/>
              </w:rPr>
            </w:pPr>
          </w:p>
        </w:tc>
      </w:tr>
      <w:tr w14:paraId="726220FA">
        <w:tblPrEx>
          <w:tblCellMar>
            <w:top w:w="0" w:type="dxa"/>
            <w:left w:w="108" w:type="dxa"/>
            <w:bottom w:w="0" w:type="dxa"/>
            <w:right w:w="108" w:type="dxa"/>
          </w:tblCellMar>
        </w:tblPrEx>
        <w:trPr>
          <w:trHeight w:val="465" w:hRule="atLeast"/>
        </w:trPr>
        <w:tc>
          <w:tcPr>
            <w:tcW w:w="1415" w:type="dxa"/>
            <w:vMerge w:val="restart"/>
            <w:tcBorders>
              <w:top w:val="nil"/>
              <w:left w:val="single" w:color="auto" w:sz="8" w:space="0"/>
              <w:bottom w:val="single" w:color="000000" w:sz="8" w:space="0"/>
              <w:right w:val="single" w:color="auto" w:sz="8" w:space="0"/>
            </w:tcBorders>
            <w:shd w:val="clear" w:color="auto" w:fill="auto"/>
            <w:vAlign w:val="center"/>
          </w:tcPr>
          <w:p w14:paraId="3C527B73">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投入</w:t>
            </w:r>
          </w:p>
        </w:tc>
        <w:tc>
          <w:tcPr>
            <w:tcW w:w="985" w:type="dxa"/>
            <w:vMerge w:val="restart"/>
            <w:tcBorders>
              <w:top w:val="nil"/>
              <w:left w:val="single" w:color="auto" w:sz="8" w:space="0"/>
              <w:bottom w:val="single" w:color="000000" w:sz="8" w:space="0"/>
              <w:right w:val="single" w:color="auto" w:sz="8" w:space="0"/>
            </w:tcBorders>
            <w:shd w:val="clear" w:color="auto" w:fill="auto"/>
            <w:vAlign w:val="center"/>
          </w:tcPr>
          <w:p w14:paraId="22222D16">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18</w:t>
            </w:r>
          </w:p>
        </w:tc>
        <w:tc>
          <w:tcPr>
            <w:tcW w:w="1265" w:type="dxa"/>
            <w:vMerge w:val="restart"/>
            <w:tcBorders>
              <w:top w:val="nil"/>
              <w:left w:val="single" w:color="auto" w:sz="8" w:space="0"/>
              <w:bottom w:val="single" w:color="000000" w:sz="8" w:space="0"/>
              <w:right w:val="single" w:color="auto" w:sz="8" w:space="0"/>
            </w:tcBorders>
            <w:shd w:val="clear" w:color="auto" w:fill="auto"/>
            <w:vAlign w:val="center"/>
          </w:tcPr>
          <w:p w14:paraId="73722AB4">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目标设定</w:t>
            </w:r>
          </w:p>
        </w:tc>
        <w:tc>
          <w:tcPr>
            <w:tcW w:w="845" w:type="dxa"/>
            <w:vMerge w:val="restart"/>
            <w:tcBorders>
              <w:top w:val="nil"/>
              <w:left w:val="single" w:color="auto" w:sz="8" w:space="0"/>
              <w:bottom w:val="single" w:color="000000" w:sz="8" w:space="0"/>
              <w:right w:val="single" w:color="auto" w:sz="8" w:space="0"/>
            </w:tcBorders>
            <w:shd w:val="clear" w:color="auto" w:fill="auto"/>
            <w:vAlign w:val="center"/>
          </w:tcPr>
          <w:p w14:paraId="0AA27BA7">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w:t>
            </w:r>
          </w:p>
        </w:tc>
        <w:tc>
          <w:tcPr>
            <w:tcW w:w="1825" w:type="dxa"/>
            <w:tcBorders>
              <w:top w:val="nil"/>
              <w:left w:val="nil"/>
              <w:bottom w:val="nil"/>
              <w:right w:val="single" w:color="auto" w:sz="8" w:space="0"/>
            </w:tcBorders>
            <w:shd w:val="clear" w:color="auto" w:fill="auto"/>
            <w:vAlign w:val="center"/>
          </w:tcPr>
          <w:p w14:paraId="02CC45E7">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绩效</w:t>
            </w:r>
          </w:p>
        </w:tc>
        <w:tc>
          <w:tcPr>
            <w:tcW w:w="846" w:type="dxa"/>
            <w:vMerge w:val="restart"/>
            <w:tcBorders>
              <w:top w:val="nil"/>
              <w:left w:val="single" w:color="auto" w:sz="8" w:space="0"/>
              <w:bottom w:val="single" w:color="000000" w:sz="8" w:space="0"/>
              <w:right w:val="single" w:color="auto" w:sz="8" w:space="0"/>
            </w:tcBorders>
            <w:shd w:val="clear" w:color="auto" w:fill="auto"/>
            <w:vAlign w:val="center"/>
          </w:tcPr>
          <w:p w14:paraId="5D3ADBE6">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w:t>
            </w:r>
          </w:p>
        </w:tc>
        <w:tc>
          <w:tcPr>
            <w:tcW w:w="6287" w:type="dxa"/>
            <w:tcBorders>
              <w:top w:val="nil"/>
              <w:left w:val="nil"/>
              <w:bottom w:val="nil"/>
              <w:right w:val="nil"/>
            </w:tcBorders>
            <w:shd w:val="clear" w:color="auto" w:fill="auto"/>
            <w:vAlign w:val="center"/>
          </w:tcPr>
          <w:p w14:paraId="1BACA0C4">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①</w:t>
            </w:r>
            <w:r>
              <w:rPr>
                <w:rFonts w:hint="eastAsia" w:ascii="宋体" w:hAnsi="宋体" w:eastAsia="宋体" w:cs="Times New Roman"/>
                <w:color w:val="000000"/>
                <w:kern w:val="0"/>
                <w:sz w:val="20"/>
                <w:szCs w:val="20"/>
              </w:rPr>
              <w:t>有目标，计</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restart"/>
            <w:tcBorders>
              <w:top w:val="nil"/>
              <w:left w:val="single" w:color="auto" w:sz="8" w:space="0"/>
              <w:bottom w:val="single" w:color="000000" w:sz="8" w:space="0"/>
              <w:right w:val="single" w:color="auto" w:sz="8" w:space="0"/>
            </w:tcBorders>
            <w:shd w:val="clear" w:color="auto" w:fill="auto"/>
            <w:vAlign w:val="center"/>
          </w:tcPr>
          <w:p w14:paraId="31EAF535">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w:t>
            </w:r>
          </w:p>
        </w:tc>
      </w:tr>
      <w:tr w14:paraId="7A65084D">
        <w:tblPrEx>
          <w:tblCellMar>
            <w:top w:w="0" w:type="dxa"/>
            <w:left w:w="108" w:type="dxa"/>
            <w:bottom w:w="0" w:type="dxa"/>
            <w:right w:w="108" w:type="dxa"/>
          </w:tblCellMar>
        </w:tblPrEx>
        <w:trPr>
          <w:trHeight w:val="465" w:hRule="atLeast"/>
        </w:trPr>
        <w:tc>
          <w:tcPr>
            <w:tcW w:w="1415" w:type="dxa"/>
            <w:vMerge w:val="continue"/>
            <w:tcBorders>
              <w:top w:val="nil"/>
              <w:left w:val="single" w:color="auto" w:sz="8" w:space="0"/>
              <w:bottom w:val="single" w:color="000000" w:sz="8" w:space="0"/>
              <w:right w:val="single" w:color="auto" w:sz="8" w:space="0"/>
            </w:tcBorders>
            <w:vAlign w:val="center"/>
          </w:tcPr>
          <w:p w14:paraId="769E60E2">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7E42C581">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1136D73C">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113D192B">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4BE21DDB">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目标</w:t>
            </w:r>
          </w:p>
        </w:tc>
        <w:tc>
          <w:tcPr>
            <w:tcW w:w="846" w:type="dxa"/>
            <w:vMerge w:val="continue"/>
            <w:tcBorders>
              <w:top w:val="nil"/>
              <w:left w:val="single" w:color="auto" w:sz="8" w:space="0"/>
              <w:bottom w:val="single" w:color="000000" w:sz="8" w:space="0"/>
              <w:right w:val="single" w:color="auto" w:sz="8" w:space="0"/>
            </w:tcBorders>
            <w:vAlign w:val="center"/>
          </w:tcPr>
          <w:p w14:paraId="7631E581">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nil"/>
            </w:tcBorders>
            <w:shd w:val="clear" w:color="auto" w:fill="auto"/>
            <w:vAlign w:val="center"/>
          </w:tcPr>
          <w:p w14:paraId="00E441B2">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②</w:t>
            </w:r>
            <w:r>
              <w:rPr>
                <w:rFonts w:hint="eastAsia" w:ascii="宋体" w:hAnsi="宋体" w:eastAsia="宋体" w:cs="Times New Roman"/>
                <w:color w:val="000000"/>
                <w:kern w:val="0"/>
                <w:sz w:val="20"/>
                <w:szCs w:val="20"/>
              </w:rPr>
              <w:t>目标明确，细化量化良好，个性指标中量化指标超过</w:t>
            </w:r>
            <w:r>
              <w:rPr>
                <w:rFonts w:ascii="Times New Roman" w:hAnsi="Times New Roman" w:eastAsia="宋体" w:cs="Times New Roman"/>
                <w:color w:val="000000"/>
                <w:kern w:val="0"/>
                <w:sz w:val="20"/>
                <w:szCs w:val="20"/>
              </w:rPr>
              <w:t>3</w:t>
            </w:r>
            <w:r>
              <w:rPr>
                <w:rFonts w:hint="eastAsia" w:ascii="宋体" w:hAnsi="宋体" w:eastAsia="宋体" w:cs="Times New Roman"/>
                <w:color w:val="000000"/>
                <w:kern w:val="0"/>
                <w:sz w:val="20"/>
                <w:szCs w:val="20"/>
              </w:rPr>
              <w:t>个，计</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分，量化指标为</w:t>
            </w:r>
            <w:r>
              <w:rPr>
                <w:rFonts w:ascii="Times New Roman" w:hAnsi="Times New Roman" w:eastAsia="宋体" w:cs="Times New Roman"/>
                <w:color w:val="000000"/>
                <w:kern w:val="0"/>
                <w:sz w:val="20"/>
                <w:szCs w:val="20"/>
              </w:rPr>
              <w:t>2</w:t>
            </w:r>
            <w:r>
              <w:rPr>
                <w:rFonts w:hint="eastAsia" w:ascii="宋体" w:hAnsi="宋体" w:eastAsia="宋体" w:cs="Times New Roman"/>
                <w:color w:val="000000"/>
                <w:kern w:val="0"/>
                <w:sz w:val="20"/>
                <w:szCs w:val="20"/>
              </w:rPr>
              <w:t>个，计</w:t>
            </w:r>
            <w:r>
              <w:rPr>
                <w:rFonts w:ascii="Times New Roman" w:hAnsi="Times New Roman" w:eastAsia="宋体" w:cs="Times New Roman"/>
                <w:color w:val="000000"/>
                <w:kern w:val="0"/>
                <w:sz w:val="20"/>
                <w:szCs w:val="20"/>
              </w:rPr>
              <w:t>0.5</w:t>
            </w:r>
            <w:r>
              <w:rPr>
                <w:rFonts w:hint="eastAsia" w:ascii="宋体" w:hAnsi="宋体" w:eastAsia="宋体" w:cs="Times New Roman"/>
                <w:color w:val="000000"/>
                <w:kern w:val="0"/>
                <w:sz w:val="20"/>
                <w:szCs w:val="20"/>
              </w:rPr>
              <w:t>分，</w:t>
            </w:r>
            <w:r>
              <w:rPr>
                <w:rFonts w:ascii="Times New Roman" w:hAnsi="Times New Roman" w:eastAsia="宋体" w:cs="Times New Roman"/>
                <w:color w:val="000000"/>
                <w:kern w:val="0"/>
                <w:sz w:val="20"/>
                <w:szCs w:val="20"/>
              </w:rPr>
              <w:t>2</w:t>
            </w:r>
            <w:r>
              <w:rPr>
                <w:rFonts w:hint="eastAsia" w:ascii="宋体" w:hAnsi="宋体" w:eastAsia="宋体" w:cs="Times New Roman"/>
                <w:color w:val="000000"/>
                <w:kern w:val="0"/>
                <w:sz w:val="20"/>
                <w:szCs w:val="20"/>
              </w:rPr>
              <w:t>个以下不计分；</w:t>
            </w:r>
          </w:p>
        </w:tc>
        <w:tc>
          <w:tcPr>
            <w:tcW w:w="722" w:type="dxa"/>
            <w:vMerge w:val="continue"/>
            <w:tcBorders>
              <w:top w:val="nil"/>
              <w:left w:val="single" w:color="auto" w:sz="8" w:space="0"/>
              <w:bottom w:val="single" w:color="000000" w:sz="8" w:space="0"/>
              <w:right w:val="single" w:color="auto" w:sz="8" w:space="0"/>
            </w:tcBorders>
            <w:vAlign w:val="center"/>
          </w:tcPr>
          <w:p w14:paraId="1D32EEF1">
            <w:pPr>
              <w:widowControl/>
              <w:jc w:val="center"/>
              <w:rPr>
                <w:rFonts w:ascii="Times New Roman" w:hAnsi="Times New Roman" w:eastAsia="宋体" w:cs="Times New Roman"/>
                <w:color w:val="000000"/>
                <w:kern w:val="0"/>
                <w:sz w:val="24"/>
                <w:szCs w:val="24"/>
              </w:rPr>
            </w:pPr>
          </w:p>
        </w:tc>
      </w:tr>
      <w:tr w14:paraId="50EEC89B">
        <w:tblPrEx>
          <w:tblCellMar>
            <w:top w:w="0" w:type="dxa"/>
            <w:left w:w="108" w:type="dxa"/>
            <w:bottom w:w="0" w:type="dxa"/>
            <w:right w:w="108" w:type="dxa"/>
          </w:tblCellMar>
        </w:tblPrEx>
        <w:trPr>
          <w:trHeight w:val="465" w:hRule="atLeast"/>
        </w:trPr>
        <w:tc>
          <w:tcPr>
            <w:tcW w:w="1415" w:type="dxa"/>
            <w:vMerge w:val="continue"/>
            <w:tcBorders>
              <w:top w:val="nil"/>
              <w:left w:val="single" w:color="auto" w:sz="8" w:space="0"/>
              <w:bottom w:val="single" w:color="000000" w:sz="8" w:space="0"/>
              <w:right w:val="single" w:color="auto" w:sz="8" w:space="0"/>
            </w:tcBorders>
            <w:vAlign w:val="center"/>
          </w:tcPr>
          <w:p w14:paraId="6373F648">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392212FC">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476C7284">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26560466">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41967CB3">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合理性</w:t>
            </w:r>
          </w:p>
        </w:tc>
        <w:tc>
          <w:tcPr>
            <w:tcW w:w="846" w:type="dxa"/>
            <w:vMerge w:val="continue"/>
            <w:tcBorders>
              <w:top w:val="nil"/>
              <w:left w:val="single" w:color="auto" w:sz="8" w:space="0"/>
              <w:bottom w:val="single" w:color="000000" w:sz="8" w:space="0"/>
              <w:right w:val="single" w:color="auto" w:sz="8" w:space="0"/>
            </w:tcBorders>
            <w:vAlign w:val="center"/>
          </w:tcPr>
          <w:p w14:paraId="49881ABA">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nil"/>
            </w:tcBorders>
            <w:shd w:val="clear" w:color="auto" w:fill="auto"/>
            <w:vAlign w:val="center"/>
          </w:tcPr>
          <w:p w14:paraId="7752E8E9">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③</w:t>
            </w:r>
            <w:r>
              <w:rPr>
                <w:rFonts w:hint="eastAsia" w:ascii="宋体" w:hAnsi="宋体" w:eastAsia="宋体" w:cs="Times New Roman"/>
                <w:color w:val="000000"/>
                <w:kern w:val="0"/>
                <w:sz w:val="20"/>
                <w:szCs w:val="20"/>
              </w:rPr>
              <w:t>与年度任务数或计划数相对应，计</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分，未与年度任务数或计划数相对应，计</w:t>
            </w:r>
            <w:r>
              <w:rPr>
                <w:rFonts w:ascii="Times New Roman" w:hAnsi="Times New Roman" w:eastAsia="宋体" w:cs="Times New Roman"/>
                <w:color w:val="000000"/>
                <w:kern w:val="0"/>
                <w:sz w:val="20"/>
                <w:szCs w:val="20"/>
              </w:rPr>
              <w:t>0</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5725A8DF">
            <w:pPr>
              <w:widowControl/>
              <w:jc w:val="center"/>
              <w:rPr>
                <w:rFonts w:ascii="Times New Roman" w:hAnsi="Times New Roman" w:eastAsia="宋体" w:cs="Times New Roman"/>
                <w:color w:val="000000"/>
                <w:kern w:val="0"/>
                <w:sz w:val="24"/>
                <w:szCs w:val="24"/>
              </w:rPr>
            </w:pPr>
          </w:p>
        </w:tc>
      </w:tr>
      <w:tr w14:paraId="2BB16A47">
        <w:tblPrEx>
          <w:tblCellMar>
            <w:top w:w="0" w:type="dxa"/>
            <w:left w:w="108" w:type="dxa"/>
            <w:bottom w:w="0" w:type="dxa"/>
            <w:right w:w="108" w:type="dxa"/>
          </w:tblCellMar>
        </w:tblPrEx>
        <w:trPr>
          <w:trHeight w:val="630" w:hRule="atLeast"/>
        </w:trPr>
        <w:tc>
          <w:tcPr>
            <w:tcW w:w="1415" w:type="dxa"/>
            <w:vMerge w:val="continue"/>
            <w:tcBorders>
              <w:top w:val="nil"/>
              <w:left w:val="single" w:color="auto" w:sz="8" w:space="0"/>
              <w:bottom w:val="single" w:color="000000" w:sz="8" w:space="0"/>
              <w:right w:val="single" w:color="auto" w:sz="8" w:space="0"/>
            </w:tcBorders>
            <w:vAlign w:val="center"/>
          </w:tcPr>
          <w:p w14:paraId="3DFE017D">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517CFC29">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4C4DC407">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5C4C5888">
            <w:pPr>
              <w:widowControl/>
              <w:jc w:val="left"/>
              <w:rPr>
                <w:rFonts w:ascii="Times New Roman" w:hAnsi="Times New Roman" w:eastAsia="宋体" w:cs="Times New Roman"/>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69E3A665">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40870F7D">
            <w:pPr>
              <w:widowControl/>
              <w:jc w:val="left"/>
              <w:rPr>
                <w:rFonts w:ascii="Times New Roman" w:hAnsi="Times New Roman" w:eastAsia="宋体" w:cs="Times New Roman"/>
                <w:color w:val="000000"/>
                <w:kern w:val="0"/>
                <w:sz w:val="20"/>
                <w:szCs w:val="20"/>
              </w:rPr>
            </w:pPr>
          </w:p>
        </w:tc>
        <w:tc>
          <w:tcPr>
            <w:tcW w:w="6287" w:type="dxa"/>
            <w:tcBorders>
              <w:top w:val="nil"/>
              <w:left w:val="nil"/>
              <w:bottom w:val="single" w:color="auto" w:sz="8" w:space="0"/>
              <w:right w:val="nil"/>
            </w:tcBorders>
            <w:shd w:val="clear" w:color="auto" w:fill="auto"/>
            <w:vAlign w:val="center"/>
          </w:tcPr>
          <w:p w14:paraId="2CCDDC52">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④</w:t>
            </w:r>
            <w:r>
              <w:rPr>
                <w:rFonts w:hint="eastAsia" w:ascii="宋体" w:hAnsi="宋体" w:eastAsia="宋体" w:cs="Times New Roman"/>
                <w:color w:val="000000"/>
                <w:kern w:val="0"/>
                <w:sz w:val="20"/>
                <w:szCs w:val="20"/>
              </w:rPr>
              <w:t>目标与资金匹配良好，逻辑关系明确，计</w:t>
            </w:r>
            <w:r>
              <w:rPr>
                <w:rFonts w:ascii="Times New Roman" w:hAnsi="Times New Roman" w:eastAsia="宋体" w:cs="Times New Roman"/>
                <w:color w:val="000000"/>
                <w:kern w:val="0"/>
                <w:sz w:val="20"/>
                <w:szCs w:val="20"/>
              </w:rPr>
              <w:t>2</w:t>
            </w:r>
            <w:r>
              <w:rPr>
                <w:rFonts w:hint="eastAsia" w:ascii="宋体" w:hAnsi="宋体" w:eastAsia="宋体" w:cs="Times New Roman"/>
                <w:color w:val="000000"/>
                <w:kern w:val="0"/>
                <w:sz w:val="20"/>
                <w:szCs w:val="20"/>
              </w:rPr>
              <w:t>分，存在明显错误和资金匹配性较差的计</w:t>
            </w:r>
            <w:r>
              <w:rPr>
                <w:rFonts w:ascii="Times New Roman" w:hAnsi="Times New Roman" w:eastAsia="宋体" w:cs="Times New Roman"/>
                <w:color w:val="000000"/>
                <w:kern w:val="0"/>
                <w:sz w:val="20"/>
                <w:szCs w:val="20"/>
              </w:rPr>
              <w:t>0</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0E34E72E">
            <w:pPr>
              <w:widowControl/>
              <w:jc w:val="center"/>
              <w:rPr>
                <w:rFonts w:ascii="Times New Roman" w:hAnsi="Times New Roman" w:eastAsia="宋体" w:cs="Times New Roman"/>
                <w:color w:val="000000"/>
                <w:kern w:val="0"/>
                <w:sz w:val="24"/>
                <w:szCs w:val="24"/>
              </w:rPr>
            </w:pPr>
          </w:p>
        </w:tc>
      </w:tr>
      <w:tr w14:paraId="2EAD3735">
        <w:tblPrEx>
          <w:tblCellMar>
            <w:top w:w="0" w:type="dxa"/>
            <w:left w:w="108" w:type="dxa"/>
            <w:bottom w:w="0" w:type="dxa"/>
            <w:right w:w="108" w:type="dxa"/>
          </w:tblCellMar>
        </w:tblPrEx>
        <w:trPr>
          <w:trHeight w:val="756" w:hRule="atLeast"/>
        </w:trPr>
        <w:tc>
          <w:tcPr>
            <w:tcW w:w="1415" w:type="dxa"/>
            <w:vMerge w:val="continue"/>
            <w:tcBorders>
              <w:top w:val="nil"/>
              <w:left w:val="single" w:color="auto" w:sz="8" w:space="0"/>
              <w:bottom w:val="single" w:color="000000" w:sz="8" w:space="0"/>
              <w:right w:val="single" w:color="auto" w:sz="8" w:space="0"/>
            </w:tcBorders>
            <w:vAlign w:val="center"/>
          </w:tcPr>
          <w:p w14:paraId="6CFB0306">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7A598A78">
            <w:pPr>
              <w:widowControl/>
              <w:jc w:val="left"/>
              <w:rPr>
                <w:rFonts w:ascii="Times New Roman" w:hAnsi="Times New Roman" w:eastAsia="宋体" w:cs="Times New Roman"/>
                <w:color w:val="000000"/>
                <w:kern w:val="0"/>
                <w:sz w:val="20"/>
                <w:szCs w:val="20"/>
              </w:rPr>
            </w:pPr>
          </w:p>
        </w:tc>
        <w:tc>
          <w:tcPr>
            <w:tcW w:w="1265" w:type="dxa"/>
            <w:vMerge w:val="restart"/>
            <w:tcBorders>
              <w:top w:val="nil"/>
              <w:left w:val="single" w:color="auto" w:sz="8" w:space="0"/>
              <w:bottom w:val="single" w:color="000000" w:sz="8" w:space="0"/>
              <w:right w:val="single" w:color="auto" w:sz="8" w:space="0"/>
            </w:tcBorders>
            <w:shd w:val="clear" w:color="auto" w:fill="auto"/>
            <w:vAlign w:val="center"/>
          </w:tcPr>
          <w:p w14:paraId="1D22E7F6">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预算配置</w:t>
            </w:r>
          </w:p>
        </w:tc>
        <w:tc>
          <w:tcPr>
            <w:tcW w:w="845" w:type="dxa"/>
            <w:vMerge w:val="restart"/>
            <w:tcBorders>
              <w:top w:val="nil"/>
              <w:left w:val="single" w:color="auto" w:sz="8" w:space="0"/>
              <w:bottom w:val="single" w:color="000000" w:sz="8" w:space="0"/>
              <w:right w:val="single" w:color="auto" w:sz="8" w:space="0"/>
            </w:tcBorders>
            <w:shd w:val="clear" w:color="auto" w:fill="auto"/>
            <w:vAlign w:val="center"/>
          </w:tcPr>
          <w:p w14:paraId="7E58B92A">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13</w:t>
            </w:r>
          </w:p>
        </w:tc>
        <w:tc>
          <w:tcPr>
            <w:tcW w:w="1825" w:type="dxa"/>
            <w:tcBorders>
              <w:top w:val="single" w:color="auto" w:sz="8" w:space="0"/>
              <w:left w:val="nil"/>
              <w:bottom w:val="single" w:color="auto" w:sz="8" w:space="0"/>
              <w:right w:val="single" w:color="auto" w:sz="8" w:space="0"/>
            </w:tcBorders>
            <w:shd w:val="clear" w:color="auto" w:fill="auto"/>
            <w:vAlign w:val="center"/>
          </w:tcPr>
          <w:p w14:paraId="3B1A7D44">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在职人员控制率</w:t>
            </w:r>
          </w:p>
        </w:tc>
        <w:tc>
          <w:tcPr>
            <w:tcW w:w="846" w:type="dxa"/>
            <w:tcBorders>
              <w:top w:val="nil"/>
              <w:left w:val="single" w:color="auto" w:sz="8" w:space="0"/>
              <w:bottom w:val="single" w:color="000000" w:sz="8" w:space="0"/>
              <w:right w:val="single" w:color="auto" w:sz="8" w:space="0"/>
            </w:tcBorders>
            <w:shd w:val="clear" w:color="auto" w:fill="auto"/>
            <w:vAlign w:val="center"/>
          </w:tcPr>
          <w:p w14:paraId="1454F0EC">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3</w:t>
            </w:r>
          </w:p>
        </w:tc>
        <w:tc>
          <w:tcPr>
            <w:tcW w:w="6287" w:type="dxa"/>
            <w:tcBorders>
              <w:top w:val="nil"/>
              <w:left w:val="single" w:color="auto" w:sz="8" w:space="0"/>
              <w:bottom w:val="single" w:color="000000" w:sz="8" w:space="0"/>
              <w:right w:val="single" w:color="auto" w:sz="8" w:space="0"/>
            </w:tcBorders>
            <w:shd w:val="clear" w:color="auto" w:fill="auto"/>
            <w:vAlign w:val="center"/>
          </w:tcPr>
          <w:p w14:paraId="61A89E44">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以</w:t>
            </w:r>
            <w:r>
              <w:rPr>
                <w:rFonts w:ascii="Times New Roman" w:hAnsi="Times New Roman" w:eastAsia="宋体" w:cs="Times New Roman"/>
                <w:color w:val="000000"/>
                <w:kern w:val="0"/>
                <w:sz w:val="20"/>
                <w:szCs w:val="20"/>
              </w:rPr>
              <w:t>100%</w:t>
            </w:r>
            <w:r>
              <w:rPr>
                <w:rFonts w:hint="eastAsia" w:ascii="宋体" w:hAnsi="宋体" w:eastAsia="宋体" w:cs="Tahoma"/>
                <w:color w:val="000000"/>
                <w:kern w:val="0"/>
                <w:sz w:val="20"/>
                <w:szCs w:val="20"/>
              </w:rPr>
              <w:t>为标准。在职人员控制率</w:t>
            </w:r>
            <w:r>
              <w:rPr>
                <w:rFonts w:ascii="宋体" w:hAnsi="宋体" w:eastAsia="宋体" w:cs="宋体"/>
                <w:color w:val="000000"/>
                <w:kern w:val="0"/>
                <w:sz w:val="20"/>
                <w:szCs w:val="20"/>
              </w:rPr>
              <w:t>≦</w:t>
            </w:r>
            <w:r>
              <w:rPr>
                <w:rFonts w:ascii="Times New Roman" w:hAnsi="Times New Roman" w:eastAsia="宋体" w:cs="Times New Roman"/>
                <w:color w:val="000000"/>
                <w:kern w:val="0"/>
                <w:sz w:val="20"/>
                <w:szCs w:val="20"/>
              </w:rPr>
              <w:t>100%</w:t>
            </w:r>
            <w:r>
              <w:rPr>
                <w:rFonts w:hint="eastAsia" w:ascii="宋体" w:hAnsi="宋体" w:eastAsia="宋体" w:cs="Tahoma"/>
                <w:color w:val="000000"/>
                <w:kern w:val="0"/>
                <w:sz w:val="20"/>
                <w:szCs w:val="20"/>
              </w:rPr>
              <w:t>，计</w:t>
            </w:r>
            <w:r>
              <w:rPr>
                <w:rFonts w:ascii="Times New Roman" w:hAnsi="Times New Roman" w:eastAsia="宋体" w:cs="Times New Roman"/>
                <w:color w:val="000000"/>
                <w:kern w:val="0"/>
                <w:sz w:val="20"/>
                <w:szCs w:val="20"/>
              </w:rPr>
              <w:t>3</w:t>
            </w:r>
            <w:r>
              <w:rPr>
                <w:rFonts w:hint="eastAsia" w:ascii="宋体" w:hAnsi="宋体" w:eastAsia="宋体" w:cs="Tahoma"/>
                <w:color w:val="000000"/>
                <w:kern w:val="0"/>
                <w:sz w:val="20"/>
                <w:szCs w:val="20"/>
              </w:rPr>
              <w:t>分；每超过一个百分点扣</w:t>
            </w:r>
            <w:r>
              <w:rPr>
                <w:rFonts w:ascii="Times New Roman" w:hAnsi="Times New Roman" w:eastAsia="宋体" w:cs="Times New Roman"/>
                <w:color w:val="000000"/>
                <w:kern w:val="0"/>
                <w:sz w:val="20"/>
                <w:szCs w:val="20"/>
              </w:rPr>
              <w:t>0.5</w:t>
            </w:r>
            <w:r>
              <w:rPr>
                <w:rFonts w:hint="eastAsia" w:ascii="宋体" w:hAnsi="宋体" w:eastAsia="宋体" w:cs="Tahoma"/>
                <w:color w:val="000000"/>
                <w:kern w:val="0"/>
                <w:sz w:val="20"/>
                <w:szCs w:val="20"/>
              </w:rPr>
              <w:t>分，扣完为止。</w:t>
            </w:r>
          </w:p>
        </w:tc>
        <w:tc>
          <w:tcPr>
            <w:tcW w:w="722" w:type="dxa"/>
            <w:tcBorders>
              <w:top w:val="nil"/>
              <w:left w:val="single" w:color="auto" w:sz="8" w:space="0"/>
              <w:bottom w:val="single" w:color="000000" w:sz="8" w:space="0"/>
              <w:right w:val="single" w:color="auto" w:sz="8" w:space="0"/>
            </w:tcBorders>
            <w:shd w:val="clear" w:color="auto" w:fill="auto"/>
            <w:vAlign w:val="center"/>
          </w:tcPr>
          <w:p w14:paraId="7E28A1B9">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r>
      <w:tr w14:paraId="6287461B">
        <w:tblPrEx>
          <w:tblCellMar>
            <w:top w:w="0" w:type="dxa"/>
            <w:left w:w="108" w:type="dxa"/>
            <w:bottom w:w="0" w:type="dxa"/>
            <w:right w:w="108" w:type="dxa"/>
          </w:tblCellMar>
        </w:tblPrEx>
        <w:trPr>
          <w:trHeight w:val="841" w:hRule="atLeast"/>
        </w:trPr>
        <w:tc>
          <w:tcPr>
            <w:tcW w:w="1415" w:type="dxa"/>
            <w:vMerge w:val="continue"/>
            <w:tcBorders>
              <w:top w:val="nil"/>
              <w:left w:val="single" w:color="auto" w:sz="8" w:space="0"/>
              <w:bottom w:val="single" w:color="000000" w:sz="8" w:space="0"/>
              <w:right w:val="single" w:color="auto" w:sz="8" w:space="0"/>
            </w:tcBorders>
            <w:vAlign w:val="center"/>
          </w:tcPr>
          <w:p w14:paraId="2D6F36AB">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702EF5BD">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7EB1EC3D">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41B55235">
            <w:pPr>
              <w:widowControl/>
              <w:jc w:val="left"/>
              <w:rPr>
                <w:rFonts w:ascii="Times New Roman" w:hAnsi="Times New Roman" w:eastAsia="宋体" w:cs="Times New Roman"/>
                <w:color w:val="000000"/>
                <w:kern w:val="0"/>
                <w:sz w:val="20"/>
                <w:szCs w:val="20"/>
              </w:rPr>
            </w:pPr>
          </w:p>
        </w:tc>
        <w:tc>
          <w:tcPr>
            <w:tcW w:w="1825" w:type="dxa"/>
            <w:tcBorders>
              <w:top w:val="single" w:color="auto" w:sz="8" w:space="0"/>
              <w:left w:val="nil"/>
              <w:bottom w:val="single" w:color="auto" w:sz="8" w:space="0"/>
              <w:right w:val="single" w:color="auto" w:sz="8" w:space="0"/>
            </w:tcBorders>
            <w:shd w:val="clear" w:color="auto" w:fill="auto"/>
            <w:vAlign w:val="center"/>
          </w:tcPr>
          <w:p w14:paraId="33CA26D1">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w:t>
            </w:r>
            <w:r>
              <w:rPr>
                <w:rFonts w:hint="eastAsia" w:ascii="宋体" w:hAnsi="宋体" w:eastAsia="宋体" w:cs="Times New Roman"/>
                <w:color w:val="000000"/>
                <w:kern w:val="0"/>
                <w:sz w:val="20"/>
                <w:szCs w:val="20"/>
              </w:rPr>
              <w:t>三公经费</w:t>
            </w:r>
            <w:r>
              <w:rPr>
                <w:rFonts w:ascii="Times New Roman" w:hAnsi="Times New Roman" w:eastAsia="宋体" w:cs="Times New Roman"/>
                <w:color w:val="000000"/>
                <w:kern w:val="0"/>
                <w:sz w:val="20"/>
                <w:szCs w:val="20"/>
              </w:rPr>
              <w:t>”</w:t>
            </w:r>
            <w:r>
              <w:rPr>
                <w:rFonts w:hint="eastAsia" w:ascii="宋体" w:hAnsi="宋体" w:eastAsia="宋体" w:cs="Times New Roman"/>
                <w:color w:val="000000"/>
                <w:kern w:val="0"/>
                <w:sz w:val="20"/>
                <w:szCs w:val="20"/>
              </w:rPr>
              <w:t>变动率</w:t>
            </w:r>
          </w:p>
        </w:tc>
        <w:tc>
          <w:tcPr>
            <w:tcW w:w="846" w:type="dxa"/>
            <w:tcBorders>
              <w:top w:val="nil"/>
              <w:left w:val="nil"/>
              <w:bottom w:val="single" w:color="auto" w:sz="8" w:space="0"/>
              <w:right w:val="single" w:color="auto" w:sz="8" w:space="0"/>
            </w:tcBorders>
            <w:shd w:val="clear" w:color="auto" w:fill="auto"/>
            <w:vAlign w:val="center"/>
          </w:tcPr>
          <w:p w14:paraId="3A773711">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w:t>
            </w:r>
          </w:p>
        </w:tc>
        <w:tc>
          <w:tcPr>
            <w:tcW w:w="6287" w:type="dxa"/>
            <w:tcBorders>
              <w:top w:val="nil"/>
              <w:left w:val="nil"/>
              <w:bottom w:val="single" w:color="auto" w:sz="8" w:space="0"/>
              <w:right w:val="single" w:color="auto" w:sz="8" w:space="0"/>
            </w:tcBorders>
            <w:shd w:val="clear" w:color="auto" w:fill="auto"/>
            <w:vAlign w:val="center"/>
          </w:tcPr>
          <w:p w14:paraId="2075CD12">
            <w:pPr>
              <w:widowControl/>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w:t>
            </w:r>
            <w:r>
              <w:rPr>
                <w:rFonts w:hint="eastAsia" w:ascii="宋体" w:hAnsi="宋体" w:eastAsia="宋体" w:cs="Times New Roman"/>
                <w:color w:val="000000"/>
                <w:kern w:val="0"/>
                <w:sz w:val="20"/>
                <w:szCs w:val="20"/>
              </w:rPr>
              <w:t>三公经费</w:t>
            </w:r>
            <w:r>
              <w:rPr>
                <w:rFonts w:ascii="Times New Roman" w:hAnsi="Times New Roman" w:eastAsia="宋体" w:cs="Times New Roman"/>
                <w:color w:val="000000"/>
                <w:kern w:val="0"/>
                <w:sz w:val="20"/>
                <w:szCs w:val="20"/>
              </w:rPr>
              <w:t>”</w:t>
            </w:r>
            <w:r>
              <w:rPr>
                <w:rFonts w:hint="eastAsia" w:ascii="宋体" w:hAnsi="宋体" w:eastAsia="宋体" w:cs="Times New Roman"/>
                <w:color w:val="000000"/>
                <w:kern w:val="0"/>
                <w:sz w:val="20"/>
                <w:szCs w:val="20"/>
              </w:rPr>
              <w:t>变动率</w:t>
            </w:r>
            <w:r>
              <w:rPr>
                <w:rFonts w:ascii="宋体" w:hAnsi="宋体" w:eastAsia="宋体" w:cs="宋体"/>
                <w:color w:val="000000"/>
                <w:kern w:val="0"/>
                <w:sz w:val="20"/>
                <w:szCs w:val="20"/>
              </w:rPr>
              <w:t>≦</w:t>
            </w:r>
            <w:r>
              <w:rPr>
                <w:rFonts w:ascii="Times New Roman" w:hAnsi="Times New Roman" w:eastAsia="宋体" w:cs="Times New Roman"/>
                <w:color w:val="000000"/>
                <w:kern w:val="0"/>
                <w:sz w:val="20"/>
                <w:szCs w:val="20"/>
              </w:rPr>
              <w:t>0</w:t>
            </w:r>
            <w:r>
              <w:rPr>
                <w:rFonts w:hint="eastAsia" w:ascii="宋体" w:hAnsi="宋体" w:eastAsia="宋体" w:cs="Times New Roman"/>
                <w:color w:val="000000"/>
                <w:kern w:val="0"/>
                <w:sz w:val="20"/>
                <w:szCs w:val="20"/>
              </w:rPr>
              <w:t>，计</w:t>
            </w:r>
            <w:r>
              <w:rPr>
                <w:rFonts w:ascii="Times New Roman" w:hAnsi="Times New Roman" w:eastAsia="宋体" w:cs="Times New Roman"/>
                <w:color w:val="000000"/>
                <w:kern w:val="0"/>
                <w:sz w:val="20"/>
                <w:szCs w:val="20"/>
              </w:rPr>
              <w:t>5</w:t>
            </w:r>
            <w:r>
              <w:rPr>
                <w:rFonts w:hint="eastAsia" w:ascii="宋体" w:hAnsi="宋体" w:eastAsia="宋体" w:cs="Times New Roman"/>
                <w:color w:val="000000"/>
                <w:kern w:val="0"/>
                <w:sz w:val="20"/>
                <w:szCs w:val="20"/>
              </w:rPr>
              <w:t>分；</w:t>
            </w:r>
            <w:r>
              <w:rPr>
                <w:rFonts w:ascii="Times New Roman" w:hAnsi="Times New Roman" w:eastAsia="宋体" w:cs="Times New Roman"/>
                <w:color w:val="000000"/>
                <w:kern w:val="0"/>
                <w:sz w:val="20"/>
                <w:szCs w:val="20"/>
              </w:rPr>
              <w:t>“</w:t>
            </w:r>
            <w:r>
              <w:rPr>
                <w:rFonts w:hint="eastAsia" w:ascii="宋体" w:hAnsi="宋体" w:eastAsia="宋体" w:cs="Times New Roman"/>
                <w:color w:val="000000"/>
                <w:kern w:val="0"/>
                <w:sz w:val="20"/>
                <w:szCs w:val="20"/>
              </w:rPr>
              <w:t>三公经费</w:t>
            </w:r>
            <w:r>
              <w:rPr>
                <w:rFonts w:ascii="Times New Roman" w:hAnsi="Times New Roman" w:eastAsia="宋体" w:cs="Times New Roman"/>
                <w:color w:val="000000"/>
                <w:kern w:val="0"/>
                <w:sz w:val="20"/>
                <w:szCs w:val="20"/>
              </w:rPr>
              <w:t>”</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0</w:t>
            </w:r>
            <w:r>
              <w:rPr>
                <w:rFonts w:hint="eastAsia" w:ascii="宋体" w:hAnsi="宋体" w:eastAsia="宋体" w:cs="Times New Roman"/>
                <w:color w:val="000000"/>
                <w:kern w:val="0"/>
                <w:sz w:val="20"/>
                <w:szCs w:val="20"/>
              </w:rPr>
              <w:t>，每超过一个百分点扣</w:t>
            </w:r>
            <w:r>
              <w:rPr>
                <w:rFonts w:ascii="Times New Roman" w:hAnsi="Times New Roman" w:eastAsia="宋体" w:cs="Times New Roman"/>
                <w:color w:val="000000"/>
                <w:kern w:val="0"/>
                <w:sz w:val="20"/>
                <w:szCs w:val="20"/>
              </w:rPr>
              <w:t>0.5</w:t>
            </w:r>
            <w:r>
              <w:rPr>
                <w:rFonts w:hint="eastAsia" w:ascii="宋体" w:hAnsi="宋体" w:eastAsia="宋体" w:cs="Times New Roman"/>
                <w:color w:val="000000"/>
                <w:kern w:val="0"/>
                <w:sz w:val="20"/>
                <w:szCs w:val="20"/>
              </w:rPr>
              <w:t>分，扣完为止。</w:t>
            </w:r>
          </w:p>
        </w:tc>
        <w:tc>
          <w:tcPr>
            <w:tcW w:w="722" w:type="dxa"/>
            <w:tcBorders>
              <w:top w:val="nil"/>
              <w:left w:val="nil"/>
              <w:bottom w:val="single" w:color="auto" w:sz="8" w:space="0"/>
              <w:right w:val="single" w:color="auto" w:sz="8" w:space="0"/>
            </w:tcBorders>
            <w:shd w:val="clear" w:color="auto" w:fill="auto"/>
            <w:vAlign w:val="center"/>
          </w:tcPr>
          <w:p w14:paraId="6F85951F">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w:t>
            </w:r>
          </w:p>
        </w:tc>
      </w:tr>
      <w:tr w14:paraId="1E97A303">
        <w:tblPrEx>
          <w:tblCellMar>
            <w:top w:w="0" w:type="dxa"/>
            <w:left w:w="108" w:type="dxa"/>
            <w:bottom w:w="0" w:type="dxa"/>
            <w:right w:w="108" w:type="dxa"/>
          </w:tblCellMar>
        </w:tblPrEx>
        <w:trPr>
          <w:trHeight w:val="615" w:hRule="atLeast"/>
        </w:trPr>
        <w:tc>
          <w:tcPr>
            <w:tcW w:w="1415" w:type="dxa"/>
            <w:vMerge w:val="continue"/>
            <w:tcBorders>
              <w:top w:val="nil"/>
              <w:left w:val="single" w:color="auto" w:sz="8" w:space="0"/>
              <w:bottom w:val="single" w:color="000000" w:sz="8" w:space="0"/>
              <w:right w:val="single" w:color="auto" w:sz="8" w:space="0"/>
            </w:tcBorders>
            <w:vAlign w:val="center"/>
          </w:tcPr>
          <w:p w14:paraId="7462A8F9">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3197EF5B">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7B8C4E06">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7E3B7EB2">
            <w:pPr>
              <w:widowControl/>
              <w:jc w:val="left"/>
              <w:rPr>
                <w:rFonts w:ascii="Times New Roman" w:hAnsi="Times New Roman" w:eastAsia="宋体" w:cs="Times New Roman"/>
                <w:color w:val="000000"/>
                <w:kern w:val="0"/>
                <w:sz w:val="20"/>
                <w:szCs w:val="20"/>
              </w:rPr>
            </w:pPr>
          </w:p>
        </w:tc>
        <w:tc>
          <w:tcPr>
            <w:tcW w:w="1825" w:type="dxa"/>
            <w:tcBorders>
              <w:top w:val="single" w:color="auto" w:sz="8" w:space="0"/>
              <w:left w:val="nil"/>
              <w:bottom w:val="single" w:color="auto" w:sz="8" w:space="0"/>
              <w:right w:val="single" w:color="auto" w:sz="8" w:space="0"/>
            </w:tcBorders>
            <w:shd w:val="clear" w:color="auto" w:fill="auto"/>
            <w:vAlign w:val="center"/>
          </w:tcPr>
          <w:p w14:paraId="26F9679B">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重点支出安排率</w:t>
            </w:r>
          </w:p>
        </w:tc>
        <w:tc>
          <w:tcPr>
            <w:tcW w:w="846" w:type="dxa"/>
            <w:tcBorders>
              <w:top w:val="nil"/>
              <w:left w:val="single" w:color="auto" w:sz="8" w:space="0"/>
              <w:bottom w:val="single" w:color="000000" w:sz="8" w:space="0"/>
              <w:right w:val="single" w:color="auto" w:sz="8" w:space="0"/>
            </w:tcBorders>
            <w:shd w:val="clear" w:color="auto" w:fill="auto"/>
            <w:vAlign w:val="center"/>
          </w:tcPr>
          <w:p w14:paraId="4E4EE0A2">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w:t>
            </w:r>
          </w:p>
        </w:tc>
        <w:tc>
          <w:tcPr>
            <w:tcW w:w="6287" w:type="dxa"/>
            <w:tcBorders>
              <w:top w:val="nil"/>
              <w:left w:val="single" w:color="auto" w:sz="8" w:space="0"/>
              <w:bottom w:val="single" w:color="000000" w:sz="8" w:space="0"/>
              <w:right w:val="single" w:color="auto" w:sz="8" w:space="0"/>
            </w:tcBorders>
            <w:shd w:val="clear" w:color="auto" w:fill="auto"/>
            <w:vAlign w:val="center"/>
          </w:tcPr>
          <w:p w14:paraId="24D723A7">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重点支出安排率</w:t>
            </w:r>
            <w:r>
              <w:rPr>
                <w:rFonts w:ascii="Times New Roman" w:hAnsi="Times New Roman" w:eastAsia="宋体" w:cs="Times New Roman"/>
                <w:color w:val="000000"/>
                <w:kern w:val="0"/>
                <w:sz w:val="20"/>
                <w:szCs w:val="20"/>
              </w:rPr>
              <w:t>100%</w:t>
            </w:r>
            <w:r>
              <w:rPr>
                <w:rFonts w:hint="eastAsia" w:ascii="宋体" w:hAnsi="宋体" w:eastAsia="宋体" w:cs="Tahoma"/>
                <w:color w:val="000000"/>
                <w:kern w:val="0"/>
                <w:sz w:val="20"/>
                <w:szCs w:val="20"/>
              </w:rPr>
              <w:t>，计</w:t>
            </w:r>
            <w:r>
              <w:rPr>
                <w:rFonts w:ascii="Times New Roman" w:hAnsi="Times New Roman" w:eastAsia="宋体" w:cs="Times New Roman"/>
                <w:color w:val="000000"/>
                <w:kern w:val="0"/>
                <w:sz w:val="20"/>
                <w:szCs w:val="20"/>
              </w:rPr>
              <w:t>5</w:t>
            </w:r>
            <w:r>
              <w:rPr>
                <w:rFonts w:hint="eastAsia" w:ascii="宋体" w:hAnsi="宋体" w:eastAsia="宋体" w:cs="Tahoma"/>
                <w:color w:val="000000"/>
                <w:kern w:val="0"/>
                <w:sz w:val="20"/>
                <w:szCs w:val="20"/>
              </w:rPr>
              <w:t>分；每下降</w:t>
            </w:r>
            <w:r>
              <w:rPr>
                <w:rFonts w:ascii="Times New Roman" w:hAnsi="Times New Roman" w:eastAsia="宋体" w:cs="Times New Roman"/>
                <w:color w:val="000000"/>
                <w:kern w:val="0"/>
                <w:sz w:val="20"/>
                <w:szCs w:val="20"/>
              </w:rPr>
              <w:t>5%</w:t>
            </w:r>
            <w:r>
              <w:rPr>
                <w:rFonts w:hint="eastAsia" w:ascii="宋体" w:hAnsi="宋体" w:eastAsia="宋体" w:cs="Tahoma"/>
                <w:color w:val="000000"/>
                <w:kern w:val="0"/>
                <w:sz w:val="20"/>
                <w:szCs w:val="20"/>
              </w:rPr>
              <w:t>，扣</w:t>
            </w:r>
            <w:r>
              <w:rPr>
                <w:rFonts w:ascii="Times New Roman" w:hAnsi="Times New Roman" w:eastAsia="宋体" w:cs="Times New Roman"/>
                <w:color w:val="000000"/>
                <w:kern w:val="0"/>
                <w:sz w:val="20"/>
                <w:szCs w:val="20"/>
              </w:rPr>
              <w:t>2</w:t>
            </w:r>
            <w:r>
              <w:rPr>
                <w:rFonts w:hint="eastAsia" w:ascii="宋体" w:hAnsi="宋体" w:eastAsia="宋体" w:cs="Tahoma"/>
                <w:color w:val="000000"/>
                <w:kern w:val="0"/>
                <w:sz w:val="20"/>
                <w:szCs w:val="20"/>
              </w:rPr>
              <w:t>分，扣完为止。</w:t>
            </w:r>
          </w:p>
        </w:tc>
        <w:tc>
          <w:tcPr>
            <w:tcW w:w="722" w:type="dxa"/>
            <w:tcBorders>
              <w:top w:val="nil"/>
              <w:left w:val="single" w:color="auto" w:sz="8" w:space="0"/>
              <w:bottom w:val="single" w:color="000000" w:sz="8" w:space="0"/>
              <w:right w:val="single" w:color="auto" w:sz="8" w:space="0"/>
            </w:tcBorders>
            <w:shd w:val="clear" w:color="auto" w:fill="auto"/>
            <w:vAlign w:val="center"/>
          </w:tcPr>
          <w:p w14:paraId="08986CDF">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w:t>
            </w:r>
          </w:p>
        </w:tc>
      </w:tr>
      <w:tr w14:paraId="70ED9AF9">
        <w:tblPrEx>
          <w:tblCellMar>
            <w:top w:w="0" w:type="dxa"/>
            <w:left w:w="108" w:type="dxa"/>
            <w:bottom w:w="0" w:type="dxa"/>
            <w:right w:w="108" w:type="dxa"/>
          </w:tblCellMar>
        </w:tblPrEx>
        <w:trPr>
          <w:trHeight w:val="705" w:hRule="atLeast"/>
        </w:trPr>
        <w:tc>
          <w:tcPr>
            <w:tcW w:w="1415" w:type="dxa"/>
            <w:vMerge w:val="restart"/>
            <w:tcBorders>
              <w:top w:val="nil"/>
              <w:left w:val="single" w:color="auto" w:sz="8" w:space="0"/>
              <w:bottom w:val="single" w:color="000000" w:sz="8" w:space="0"/>
              <w:right w:val="single" w:color="auto" w:sz="8" w:space="0"/>
            </w:tcBorders>
            <w:shd w:val="clear" w:color="auto" w:fill="auto"/>
            <w:vAlign w:val="center"/>
          </w:tcPr>
          <w:p w14:paraId="3691F6D5">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过</w:t>
            </w:r>
            <w:r>
              <w:rPr>
                <w:rFonts w:ascii="Times New Roman" w:hAnsi="Times New Roman" w:eastAsia="宋体" w:cs="Times New Roman"/>
                <w:color w:val="000000"/>
                <w:kern w:val="0"/>
                <w:sz w:val="20"/>
                <w:szCs w:val="20"/>
              </w:rPr>
              <w:t xml:space="preserve">                                                                                                                                       </w:t>
            </w:r>
            <w:r>
              <w:rPr>
                <w:rFonts w:hint="eastAsia" w:ascii="宋体" w:hAnsi="宋体" w:eastAsia="宋体" w:cs="Tahoma"/>
                <w:color w:val="000000"/>
                <w:kern w:val="0"/>
                <w:sz w:val="20"/>
                <w:szCs w:val="20"/>
              </w:rPr>
              <w:t>程</w:t>
            </w:r>
          </w:p>
        </w:tc>
        <w:tc>
          <w:tcPr>
            <w:tcW w:w="985" w:type="dxa"/>
            <w:vMerge w:val="restart"/>
            <w:tcBorders>
              <w:top w:val="nil"/>
              <w:left w:val="single" w:color="auto" w:sz="8" w:space="0"/>
              <w:bottom w:val="single" w:color="000000" w:sz="8" w:space="0"/>
              <w:right w:val="single" w:color="auto" w:sz="8" w:space="0"/>
            </w:tcBorders>
            <w:shd w:val="clear" w:color="auto" w:fill="auto"/>
            <w:vAlign w:val="center"/>
          </w:tcPr>
          <w:p w14:paraId="79A6B213">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56</w:t>
            </w:r>
          </w:p>
        </w:tc>
        <w:tc>
          <w:tcPr>
            <w:tcW w:w="1265" w:type="dxa"/>
            <w:vMerge w:val="restart"/>
            <w:tcBorders>
              <w:top w:val="nil"/>
              <w:left w:val="single" w:color="auto" w:sz="8" w:space="0"/>
              <w:bottom w:val="single" w:color="000000" w:sz="8" w:space="0"/>
              <w:right w:val="single" w:color="auto" w:sz="8" w:space="0"/>
            </w:tcBorders>
            <w:shd w:val="clear" w:color="auto" w:fill="auto"/>
            <w:vAlign w:val="center"/>
          </w:tcPr>
          <w:p w14:paraId="0FC8DDED">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预算执行</w:t>
            </w:r>
          </w:p>
        </w:tc>
        <w:tc>
          <w:tcPr>
            <w:tcW w:w="845" w:type="dxa"/>
            <w:vMerge w:val="restart"/>
            <w:tcBorders>
              <w:top w:val="nil"/>
              <w:left w:val="single" w:color="auto" w:sz="8" w:space="0"/>
              <w:bottom w:val="single" w:color="000000" w:sz="8" w:space="0"/>
              <w:right w:val="single" w:color="auto" w:sz="8" w:space="0"/>
            </w:tcBorders>
            <w:shd w:val="clear" w:color="auto" w:fill="auto"/>
            <w:vAlign w:val="center"/>
          </w:tcPr>
          <w:p w14:paraId="4EDE7A29">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31</w:t>
            </w:r>
          </w:p>
        </w:tc>
        <w:tc>
          <w:tcPr>
            <w:tcW w:w="1825" w:type="dxa"/>
            <w:tcBorders>
              <w:top w:val="single" w:color="auto" w:sz="8" w:space="0"/>
              <w:left w:val="nil"/>
              <w:bottom w:val="nil"/>
              <w:right w:val="single" w:color="auto" w:sz="8" w:space="0"/>
            </w:tcBorders>
            <w:shd w:val="clear" w:color="auto" w:fill="auto"/>
            <w:vAlign w:val="center"/>
          </w:tcPr>
          <w:p w14:paraId="7BAA84E7">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预算</w:t>
            </w:r>
          </w:p>
        </w:tc>
        <w:tc>
          <w:tcPr>
            <w:tcW w:w="846" w:type="dxa"/>
            <w:vMerge w:val="restart"/>
            <w:tcBorders>
              <w:top w:val="nil"/>
              <w:left w:val="single" w:color="auto" w:sz="8" w:space="0"/>
              <w:bottom w:val="single" w:color="000000" w:sz="8" w:space="0"/>
              <w:right w:val="single" w:color="auto" w:sz="8" w:space="0"/>
            </w:tcBorders>
            <w:shd w:val="clear" w:color="auto" w:fill="auto"/>
            <w:vAlign w:val="center"/>
          </w:tcPr>
          <w:p w14:paraId="40E6ECF5">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6</w:t>
            </w:r>
          </w:p>
        </w:tc>
        <w:tc>
          <w:tcPr>
            <w:tcW w:w="6287" w:type="dxa"/>
            <w:tcBorders>
              <w:top w:val="nil"/>
              <w:left w:val="nil"/>
              <w:bottom w:val="nil"/>
              <w:right w:val="single" w:color="auto" w:sz="8" w:space="0"/>
            </w:tcBorders>
            <w:shd w:val="clear" w:color="auto" w:fill="auto"/>
            <w:vAlign w:val="center"/>
          </w:tcPr>
          <w:p w14:paraId="087D09DF">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①</w:t>
            </w:r>
            <w:r>
              <w:rPr>
                <w:rFonts w:hint="eastAsia" w:ascii="宋体" w:hAnsi="宋体" w:eastAsia="宋体" w:cs="Times New Roman"/>
                <w:color w:val="000000"/>
                <w:kern w:val="0"/>
                <w:sz w:val="20"/>
                <w:szCs w:val="20"/>
              </w:rPr>
              <w:t>预算完成率</w:t>
            </w:r>
            <w:r>
              <w:rPr>
                <w:rFonts w:ascii="Times New Roman" w:hAnsi="Times New Roman" w:eastAsia="宋体" w:cs="Times New Roman"/>
                <w:color w:val="000000"/>
                <w:kern w:val="0"/>
                <w:sz w:val="20"/>
                <w:szCs w:val="20"/>
              </w:rPr>
              <w:t>95%</w:t>
            </w:r>
            <w:r>
              <w:rPr>
                <w:rFonts w:hint="eastAsia" w:ascii="宋体" w:hAnsi="宋体" w:eastAsia="宋体" w:cs="Times New Roman"/>
                <w:color w:val="000000"/>
                <w:kern w:val="0"/>
                <w:sz w:val="20"/>
                <w:szCs w:val="20"/>
              </w:rPr>
              <w:t>以上计</w:t>
            </w:r>
            <w:r>
              <w:rPr>
                <w:rFonts w:ascii="Times New Roman" w:hAnsi="Times New Roman" w:eastAsia="宋体" w:cs="Times New Roman"/>
                <w:color w:val="000000"/>
                <w:kern w:val="0"/>
                <w:sz w:val="20"/>
                <w:szCs w:val="20"/>
              </w:rPr>
              <w:t>3</w:t>
            </w:r>
            <w:r>
              <w:rPr>
                <w:rFonts w:hint="eastAsia" w:ascii="宋体" w:hAnsi="宋体" w:eastAsia="宋体" w:cs="Times New Roman"/>
                <w:color w:val="000000"/>
                <w:kern w:val="0"/>
                <w:sz w:val="20"/>
                <w:szCs w:val="20"/>
              </w:rPr>
              <w:t>分，</w:t>
            </w:r>
            <w:r>
              <w:rPr>
                <w:rFonts w:ascii="Times New Roman" w:hAnsi="Times New Roman" w:eastAsia="宋体" w:cs="Times New Roman"/>
                <w:color w:val="000000"/>
                <w:kern w:val="0"/>
                <w:sz w:val="20"/>
                <w:szCs w:val="20"/>
              </w:rPr>
              <w:t>95-90%</w:t>
            </w:r>
            <w:r>
              <w:rPr>
                <w:rFonts w:hint="eastAsia" w:ascii="宋体" w:hAnsi="宋体" w:eastAsia="宋体" w:cs="Times New Roman"/>
                <w:color w:val="000000"/>
                <w:kern w:val="0"/>
                <w:sz w:val="20"/>
                <w:szCs w:val="20"/>
              </w:rPr>
              <w:t>（含），计</w:t>
            </w:r>
            <w:r>
              <w:rPr>
                <w:rFonts w:ascii="Times New Roman" w:hAnsi="Times New Roman" w:eastAsia="宋体" w:cs="Times New Roman"/>
                <w:color w:val="000000"/>
                <w:kern w:val="0"/>
                <w:sz w:val="20"/>
                <w:szCs w:val="20"/>
              </w:rPr>
              <w:t>1.5</w:t>
            </w:r>
            <w:r>
              <w:rPr>
                <w:rFonts w:hint="eastAsia" w:ascii="宋体" w:hAnsi="宋体" w:eastAsia="宋体" w:cs="Times New Roman"/>
                <w:color w:val="000000"/>
                <w:kern w:val="0"/>
                <w:sz w:val="20"/>
                <w:szCs w:val="20"/>
              </w:rPr>
              <w:t>分，</w:t>
            </w:r>
            <w:r>
              <w:rPr>
                <w:rFonts w:ascii="Times New Roman" w:hAnsi="Times New Roman" w:eastAsia="宋体" w:cs="Times New Roman"/>
                <w:color w:val="000000"/>
                <w:kern w:val="0"/>
                <w:sz w:val="20"/>
                <w:szCs w:val="20"/>
              </w:rPr>
              <w:t>90-80%</w:t>
            </w:r>
            <w:r>
              <w:rPr>
                <w:rFonts w:hint="eastAsia" w:ascii="宋体" w:hAnsi="宋体" w:eastAsia="宋体" w:cs="Times New Roman"/>
                <w:color w:val="000000"/>
                <w:kern w:val="0"/>
                <w:sz w:val="20"/>
                <w:szCs w:val="20"/>
              </w:rPr>
              <w:t>（含），计</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分，小于</w:t>
            </w:r>
            <w:r>
              <w:rPr>
                <w:rFonts w:ascii="Times New Roman" w:hAnsi="Times New Roman" w:eastAsia="宋体" w:cs="Times New Roman"/>
                <w:color w:val="000000"/>
                <w:kern w:val="0"/>
                <w:sz w:val="20"/>
                <w:szCs w:val="20"/>
              </w:rPr>
              <w:t>80%</w:t>
            </w:r>
            <w:r>
              <w:rPr>
                <w:rFonts w:hint="eastAsia" w:ascii="宋体" w:hAnsi="宋体" w:eastAsia="宋体" w:cs="Times New Roman"/>
                <w:color w:val="000000"/>
                <w:kern w:val="0"/>
                <w:sz w:val="20"/>
                <w:szCs w:val="20"/>
              </w:rPr>
              <w:t>不得分；</w:t>
            </w:r>
          </w:p>
        </w:tc>
        <w:tc>
          <w:tcPr>
            <w:tcW w:w="722" w:type="dxa"/>
            <w:tcBorders>
              <w:top w:val="nil"/>
              <w:left w:val="nil"/>
              <w:bottom w:val="nil"/>
              <w:right w:val="single" w:color="auto" w:sz="8" w:space="0"/>
            </w:tcBorders>
            <w:shd w:val="clear" w:color="auto" w:fill="auto"/>
            <w:vAlign w:val="center"/>
          </w:tcPr>
          <w:p w14:paraId="31F13583">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r>
      <w:tr w14:paraId="41CE6501">
        <w:tblPrEx>
          <w:tblCellMar>
            <w:top w:w="0" w:type="dxa"/>
            <w:left w:w="108" w:type="dxa"/>
            <w:bottom w:w="0" w:type="dxa"/>
            <w:right w:w="108" w:type="dxa"/>
          </w:tblCellMar>
        </w:tblPrEx>
        <w:trPr>
          <w:trHeight w:val="825" w:hRule="atLeast"/>
        </w:trPr>
        <w:tc>
          <w:tcPr>
            <w:tcW w:w="1415" w:type="dxa"/>
            <w:vMerge w:val="continue"/>
            <w:tcBorders>
              <w:top w:val="nil"/>
              <w:left w:val="single" w:color="auto" w:sz="8" w:space="0"/>
              <w:bottom w:val="single" w:color="000000" w:sz="8" w:space="0"/>
              <w:right w:val="single" w:color="auto" w:sz="8" w:space="0"/>
            </w:tcBorders>
            <w:vAlign w:val="center"/>
          </w:tcPr>
          <w:p w14:paraId="56612296">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2BD3E083">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72DF032B">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2D804C78">
            <w:pPr>
              <w:widowControl/>
              <w:jc w:val="left"/>
              <w:rPr>
                <w:rFonts w:ascii="Times New Roman" w:hAnsi="Times New Roman" w:eastAsia="宋体" w:cs="Times New Roman"/>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25008B73">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执行率</w:t>
            </w:r>
          </w:p>
        </w:tc>
        <w:tc>
          <w:tcPr>
            <w:tcW w:w="846" w:type="dxa"/>
            <w:vMerge w:val="continue"/>
            <w:tcBorders>
              <w:top w:val="nil"/>
              <w:left w:val="single" w:color="auto" w:sz="8" w:space="0"/>
              <w:bottom w:val="single" w:color="000000" w:sz="8" w:space="0"/>
              <w:right w:val="single" w:color="auto" w:sz="8" w:space="0"/>
            </w:tcBorders>
            <w:vAlign w:val="center"/>
          </w:tcPr>
          <w:p w14:paraId="2BE971F6">
            <w:pPr>
              <w:widowControl/>
              <w:jc w:val="left"/>
              <w:rPr>
                <w:rFonts w:ascii="Times New Roman" w:hAnsi="Times New Roman" w:eastAsia="宋体" w:cs="Times New Roman"/>
                <w:color w:val="000000"/>
                <w:kern w:val="0"/>
                <w:sz w:val="20"/>
                <w:szCs w:val="20"/>
              </w:rPr>
            </w:pPr>
          </w:p>
        </w:tc>
        <w:tc>
          <w:tcPr>
            <w:tcW w:w="6287" w:type="dxa"/>
            <w:tcBorders>
              <w:top w:val="nil"/>
              <w:left w:val="nil"/>
              <w:bottom w:val="single" w:color="auto" w:sz="8" w:space="0"/>
              <w:right w:val="single" w:color="auto" w:sz="8" w:space="0"/>
            </w:tcBorders>
            <w:shd w:val="clear" w:color="auto" w:fill="auto"/>
            <w:vAlign w:val="center"/>
          </w:tcPr>
          <w:p w14:paraId="565297F3">
            <w:pPr>
              <w:widowControl/>
              <w:rPr>
                <w:rFonts w:ascii="Times New Roman" w:hAnsi="Times New Roman" w:eastAsia="宋体" w:cs="Times New Roman"/>
                <w:color w:val="000000"/>
                <w:kern w:val="0"/>
                <w:sz w:val="20"/>
                <w:szCs w:val="20"/>
              </w:rPr>
            </w:pPr>
            <w:r>
              <w:rPr>
                <w:rFonts w:hint="eastAsia" w:ascii="宋体" w:hAnsi="宋体" w:eastAsia="宋体" w:cs="Times New Roman"/>
                <w:color w:val="000000"/>
                <w:kern w:val="0"/>
                <w:sz w:val="20"/>
                <w:szCs w:val="20"/>
              </w:rPr>
              <w:t>②支付进度率</w:t>
            </w:r>
            <w:r>
              <w:rPr>
                <w:rFonts w:ascii="Times New Roman" w:hAnsi="Times New Roman" w:eastAsia="宋体" w:cs="Times New Roman"/>
                <w:color w:val="000000"/>
                <w:kern w:val="0"/>
                <w:sz w:val="20"/>
                <w:szCs w:val="20"/>
              </w:rPr>
              <w:t>95%</w:t>
            </w:r>
            <w:r>
              <w:rPr>
                <w:rFonts w:hint="eastAsia" w:ascii="宋体" w:hAnsi="宋体" w:eastAsia="宋体" w:cs="Times New Roman"/>
                <w:color w:val="000000"/>
                <w:kern w:val="0"/>
                <w:sz w:val="20"/>
                <w:szCs w:val="20"/>
              </w:rPr>
              <w:t>以上计</w:t>
            </w:r>
            <w:r>
              <w:rPr>
                <w:rFonts w:ascii="Times New Roman" w:hAnsi="Times New Roman" w:eastAsia="宋体" w:cs="Times New Roman"/>
                <w:color w:val="000000"/>
                <w:kern w:val="0"/>
                <w:sz w:val="20"/>
                <w:szCs w:val="20"/>
              </w:rPr>
              <w:t>3</w:t>
            </w:r>
            <w:r>
              <w:rPr>
                <w:rFonts w:hint="eastAsia" w:ascii="宋体" w:hAnsi="宋体" w:eastAsia="宋体" w:cs="Times New Roman"/>
                <w:color w:val="000000"/>
                <w:kern w:val="0"/>
                <w:sz w:val="20"/>
                <w:szCs w:val="20"/>
              </w:rPr>
              <w:t>分，</w:t>
            </w:r>
            <w:r>
              <w:rPr>
                <w:rFonts w:ascii="Times New Roman" w:hAnsi="Times New Roman" w:eastAsia="宋体" w:cs="Times New Roman"/>
                <w:color w:val="000000"/>
                <w:kern w:val="0"/>
                <w:sz w:val="20"/>
                <w:szCs w:val="20"/>
              </w:rPr>
              <w:t>95-90%</w:t>
            </w:r>
            <w:r>
              <w:rPr>
                <w:rFonts w:hint="eastAsia" w:ascii="宋体" w:hAnsi="宋体" w:eastAsia="宋体" w:cs="Times New Roman"/>
                <w:color w:val="000000"/>
                <w:kern w:val="0"/>
                <w:sz w:val="20"/>
                <w:szCs w:val="20"/>
              </w:rPr>
              <w:t>（含），计</w:t>
            </w:r>
            <w:r>
              <w:rPr>
                <w:rFonts w:ascii="Times New Roman" w:hAnsi="Times New Roman" w:eastAsia="宋体" w:cs="Times New Roman"/>
                <w:color w:val="000000"/>
                <w:kern w:val="0"/>
                <w:sz w:val="20"/>
                <w:szCs w:val="20"/>
              </w:rPr>
              <w:t>1.5</w:t>
            </w:r>
            <w:r>
              <w:rPr>
                <w:rFonts w:hint="eastAsia" w:ascii="宋体" w:hAnsi="宋体" w:eastAsia="宋体" w:cs="Times New Roman"/>
                <w:color w:val="000000"/>
                <w:kern w:val="0"/>
                <w:sz w:val="20"/>
                <w:szCs w:val="20"/>
              </w:rPr>
              <w:t>分，</w:t>
            </w:r>
            <w:r>
              <w:rPr>
                <w:rFonts w:ascii="Times New Roman" w:hAnsi="Times New Roman" w:eastAsia="宋体" w:cs="Times New Roman"/>
                <w:color w:val="000000"/>
                <w:kern w:val="0"/>
                <w:sz w:val="20"/>
                <w:szCs w:val="20"/>
              </w:rPr>
              <w:t>90-80%</w:t>
            </w:r>
            <w:r>
              <w:rPr>
                <w:rFonts w:hint="eastAsia" w:ascii="宋体" w:hAnsi="宋体" w:eastAsia="宋体" w:cs="Times New Roman"/>
                <w:color w:val="000000"/>
                <w:kern w:val="0"/>
                <w:sz w:val="20"/>
                <w:szCs w:val="20"/>
              </w:rPr>
              <w:t>（含），计</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分，小于</w:t>
            </w:r>
            <w:r>
              <w:rPr>
                <w:rFonts w:ascii="Times New Roman" w:hAnsi="Times New Roman" w:eastAsia="宋体" w:cs="Times New Roman"/>
                <w:color w:val="000000"/>
                <w:kern w:val="0"/>
                <w:sz w:val="20"/>
                <w:szCs w:val="20"/>
              </w:rPr>
              <w:t>80%</w:t>
            </w:r>
            <w:r>
              <w:rPr>
                <w:rFonts w:hint="eastAsia" w:ascii="宋体" w:hAnsi="宋体" w:eastAsia="宋体" w:cs="Times New Roman"/>
                <w:color w:val="000000"/>
                <w:kern w:val="0"/>
                <w:sz w:val="20"/>
                <w:szCs w:val="20"/>
              </w:rPr>
              <w:t>不得分。</w:t>
            </w:r>
          </w:p>
        </w:tc>
        <w:tc>
          <w:tcPr>
            <w:tcW w:w="722" w:type="dxa"/>
            <w:tcBorders>
              <w:top w:val="nil"/>
              <w:left w:val="nil"/>
              <w:bottom w:val="single" w:color="auto" w:sz="8" w:space="0"/>
              <w:right w:val="single" w:color="auto" w:sz="8" w:space="0"/>
            </w:tcBorders>
            <w:shd w:val="clear" w:color="auto" w:fill="auto"/>
            <w:vAlign w:val="center"/>
          </w:tcPr>
          <w:p w14:paraId="19677437">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r>
      <w:tr w14:paraId="2EF5F93A">
        <w:tblPrEx>
          <w:tblCellMar>
            <w:top w:w="0" w:type="dxa"/>
            <w:left w:w="108" w:type="dxa"/>
            <w:bottom w:w="0" w:type="dxa"/>
            <w:right w:w="108" w:type="dxa"/>
          </w:tblCellMar>
        </w:tblPrEx>
        <w:trPr>
          <w:trHeight w:val="450" w:hRule="atLeast"/>
        </w:trPr>
        <w:tc>
          <w:tcPr>
            <w:tcW w:w="1415" w:type="dxa"/>
            <w:vMerge w:val="continue"/>
            <w:tcBorders>
              <w:top w:val="nil"/>
              <w:left w:val="single" w:color="auto" w:sz="8" w:space="0"/>
              <w:bottom w:val="single" w:color="000000" w:sz="8" w:space="0"/>
              <w:right w:val="single" w:color="auto" w:sz="8" w:space="0"/>
            </w:tcBorders>
            <w:vAlign w:val="center"/>
          </w:tcPr>
          <w:p w14:paraId="0BDF68C1">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55EF9923">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69EA540B">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164B4A8E">
            <w:pPr>
              <w:widowControl/>
              <w:jc w:val="left"/>
              <w:rPr>
                <w:rFonts w:ascii="Times New Roman" w:hAnsi="Times New Roman" w:eastAsia="宋体" w:cs="Times New Roman"/>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44A6399F">
            <w:pPr>
              <w:widowControl/>
              <w:jc w:val="center"/>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预算调整率</w:t>
            </w:r>
          </w:p>
        </w:tc>
        <w:tc>
          <w:tcPr>
            <w:tcW w:w="846" w:type="dxa"/>
            <w:tcBorders>
              <w:top w:val="nil"/>
              <w:left w:val="single" w:color="auto" w:sz="8" w:space="0"/>
              <w:bottom w:val="single" w:color="000000" w:sz="8" w:space="0"/>
              <w:right w:val="single" w:color="auto" w:sz="8" w:space="0"/>
            </w:tcBorders>
            <w:shd w:val="clear" w:color="auto" w:fill="auto"/>
            <w:vAlign w:val="center"/>
          </w:tcPr>
          <w:p w14:paraId="0C28E700">
            <w:pPr>
              <w:widowControl/>
              <w:jc w:val="center"/>
              <w:rPr>
                <w:rFonts w:ascii="Times New Roman" w:hAnsi="Times New Roman" w:eastAsia="宋体" w:cs="Times New Roman"/>
                <w:color w:val="000000" w:themeColor="text1"/>
                <w:kern w:val="0"/>
                <w:sz w:val="20"/>
                <w:szCs w:val="20"/>
                <w14:textFill>
                  <w14:solidFill>
                    <w14:schemeClr w14:val="tx1"/>
                  </w14:solidFill>
                </w14:textFill>
              </w:rPr>
            </w:pPr>
            <w:r>
              <w:rPr>
                <w:rFonts w:ascii="Times New Roman" w:hAnsi="Times New Roman" w:eastAsia="宋体" w:cs="Times New Roman"/>
                <w:color w:val="000000" w:themeColor="text1"/>
                <w:kern w:val="0"/>
                <w:sz w:val="20"/>
                <w:szCs w:val="20"/>
                <w14:textFill>
                  <w14:solidFill>
                    <w14:schemeClr w14:val="tx1"/>
                  </w14:solidFill>
                </w14:textFill>
              </w:rPr>
              <w:t>5</w:t>
            </w:r>
          </w:p>
        </w:tc>
        <w:tc>
          <w:tcPr>
            <w:tcW w:w="6287" w:type="dxa"/>
            <w:tcBorders>
              <w:top w:val="nil"/>
              <w:left w:val="single" w:color="auto" w:sz="8" w:space="0"/>
              <w:bottom w:val="single" w:color="000000" w:sz="8" w:space="0"/>
              <w:right w:val="single" w:color="auto" w:sz="8" w:space="0"/>
            </w:tcBorders>
            <w:shd w:val="clear" w:color="auto" w:fill="auto"/>
            <w:vAlign w:val="center"/>
          </w:tcPr>
          <w:p w14:paraId="396038EC">
            <w:pPr>
              <w:widowControl/>
              <w:rPr>
                <w:rFonts w:ascii="宋体" w:hAnsi="宋体" w:eastAsia="宋体" w:cs="Tahoma"/>
                <w:color w:val="000000" w:themeColor="text1"/>
                <w:kern w:val="0"/>
                <w:sz w:val="20"/>
                <w:szCs w:val="20"/>
                <w14:textFill>
                  <w14:solidFill>
                    <w14:schemeClr w14:val="tx1"/>
                  </w14:solidFill>
                </w14:textFill>
              </w:rPr>
            </w:pPr>
            <w:r>
              <w:rPr>
                <w:rFonts w:hint="eastAsia" w:ascii="宋体" w:hAnsi="宋体" w:eastAsia="宋体" w:cs="Tahoma"/>
                <w:color w:val="000000" w:themeColor="text1"/>
                <w:kern w:val="0"/>
                <w:sz w:val="20"/>
                <w:szCs w:val="20"/>
                <w14:textFill>
                  <w14:solidFill>
                    <w14:schemeClr w14:val="tx1"/>
                  </w14:solidFill>
                </w14:textFill>
              </w:rPr>
              <w:t>预算调整率</w:t>
            </w:r>
            <w:r>
              <w:rPr>
                <w:rFonts w:ascii="Times New Roman" w:hAnsi="Times New Roman" w:eastAsia="宋体" w:cs="Times New Roman"/>
                <w:color w:val="000000" w:themeColor="text1"/>
                <w:kern w:val="0"/>
                <w:sz w:val="20"/>
                <w:szCs w:val="20"/>
                <w14:textFill>
                  <w14:solidFill>
                    <w14:schemeClr w14:val="tx1"/>
                  </w14:solidFill>
                </w14:textFill>
              </w:rPr>
              <w:t>=0</w:t>
            </w:r>
            <w:r>
              <w:rPr>
                <w:rFonts w:hint="eastAsia" w:ascii="宋体" w:hAnsi="宋体" w:eastAsia="宋体" w:cs="Tahoma"/>
                <w:color w:val="000000" w:themeColor="text1"/>
                <w:kern w:val="0"/>
                <w:sz w:val="20"/>
                <w:szCs w:val="20"/>
                <w14:textFill>
                  <w14:solidFill>
                    <w14:schemeClr w14:val="tx1"/>
                  </w14:solidFill>
                </w14:textFill>
              </w:rPr>
              <w:t>，计</w:t>
            </w:r>
            <w:r>
              <w:rPr>
                <w:rFonts w:ascii="Times New Roman" w:hAnsi="Times New Roman" w:eastAsia="宋体" w:cs="Times New Roman"/>
                <w:color w:val="000000" w:themeColor="text1"/>
                <w:kern w:val="0"/>
                <w:sz w:val="20"/>
                <w:szCs w:val="20"/>
                <w14:textFill>
                  <w14:solidFill>
                    <w14:schemeClr w14:val="tx1"/>
                  </w14:solidFill>
                </w14:textFill>
              </w:rPr>
              <w:t>5</w:t>
            </w:r>
            <w:r>
              <w:rPr>
                <w:rFonts w:hint="eastAsia" w:ascii="宋体" w:hAnsi="宋体" w:eastAsia="宋体" w:cs="Tahoma"/>
                <w:color w:val="000000" w:themeColor="text1"/>
                <w:kern w:val="0"/>
                <w:sz w:val="20"/>
                <w:szCs w:val="20"/>
                <w14:textFill>
                  <w14:solidFill>
                    <w14:schemeClr w14:val="tx1"/>
                  </w14:solidFill>
                </w14:textFill>
              </w:rPr>
              <w:t>分；</w:t>
            </w:r>
            <w:r>
              <w:rPr>
                <w:rFonts w:ascii="Times New Roman" w:hAnsi="Times New Roman" w:eastAsia="宋体" w:cs="Times New Roman"/>
                <w:color w:val="000000" w:themeColor="text1"/>
                <w:kern w:val="0"/>
                <w:sz w:val="20"/>
                <w:szCs w:val="20"/>
                <w14:textFill>
                  <w14:solidFill>
                    <w14:schemeClr w14:val="tx1"/>
                  </w14:solidFill>
                </w14:textFill>
              </w:rPr>
              <w:t>0-10%</w:t>
            </w:r>
            <w:r>
              <w:rPr>
                <w:rFonts w:hint="eastAsia" w:ascii="宋体" w:hAnsi="宋体" w:eastAsia="宋体" w:cs="Tahoma"/>
                <w:color w:val="000000" w:themeColor="text1"/>
                <w:kern w:val="0"/>
                <w:sz w:val="20"/>
                <w:szCs w:val="20"/>
                <w14:textFill>
                  <w14:solidFill>
                    <w14:schemeClr w14:val="tx1"/>
                  </w14:solidFill>
                </w14:textFill>
              </w:rPr>
              <w:t>（含），计</w:t>
            </w:r>
            <w:r>
              <w:rPr>
                <w:rFonts w:ascii="Times New Roman" w:hAnsi="Times New Roman" w:eastAsia="宋体" w:cs="Times New Roman"/>
                <w:color w:val="000000" w:themeColor="text1"/>
                <w:kern w:val="0"/>
                <w:sz w:val="20"/>
                <w:szCs w:val="20"/>
                <w14:textFill>
                  <w14:solidFill>
                    <w14:schemeClr w14:val="tx1"/>
                  </w14:solidFill>
                </w14:textFill>
              </w:rPr>
              <w:t>3</w:t>
            </w:r>
            <w:r>
              <w:rPr>
                <w:rFonts w:hint="eastAsia" w:ascii="宋体" w:hAnsi="宋体" w:eastAsia="宋体" w:cs="Tahoma"/>
                <w:color w:val="000000" w:themeColor="text1"/>
                <w:kern w:val="0"/>
                <w:sz w:val="20"/>
                <w:szCs w:val="20"/>
                <w14:textFill>
                  <w14:solidFill>
                    <w14:schemeClr w14:val="tx1"/>
                  </w14:solidFill>
                </w14:textFill>
              </w:rPr>
              <w:t>分；超过</w:t>
            </w:r>
            <w:r>
              <w:rPr>
                <w:rFonts w:ascii="Times New Roman" w:hAnsi="Times New Roman" w:eastAsia="宋体" w:cs="Times New Roman"/>
                <w:color w:val="000000" w:themeColor="text1"/>
                <w:kern w:val="0"/>
                <w:sz w:val="20"/>
                <w:szCs w:val="20"/>
                <w14:textFill>
                  <w14:solidFill>
                    <w14:schemeClr w14:val="tx1"/>
                  </w14:solidFill>
                </w14:textFill>
              </w:rPr>
              <w:t>10%</w:t>
            </w:r>
            <w:r>
              <w:rPr>
                <w:rFonts w:hint="eastAsia" w:ascii="宋体" w:hAnsi="宋体" w:eastAsia="宋体" w:cs="Tahoma"/>
                <w:color w:val="000000" w:themeColor="text1"/>
                <w:kern w:val="0"/>
                <w:sz w:val="20"/>
                <w:szCs w:val="20"/>
                <w14:textFill>
                  <w14:solidFill>
                    <w14:schemeClr w14:val="tx1"/>
                  </w14:solidFill>
                </w14:textFill>
              </w:rPr>
              <w:t>不得分</w:t>
            </w:r>
          </w:p>
        </w:tc>
        <w:tc>
          <w:tcPr>
            <w:tcW w:w="722" w:type="dxa"/>
            <w:tcBorders>
              <w:top w:val="nil"/>
              <w:left w:val="single" w:color="auto" w:sz="8" w:space="0"/>
              <w:bottom w:val="single" w:color="000000" w:sz="8" w:space="0"/>
              <w:right w:val="single" w:color="auto" w:sz="8" w:space="0"/>
            </w:tcBorders>
            <w:shd w:val="clear" w:color="auto" w:fill="auto"/>
            <w:vAlign w:val="center"/>
          </w:tcPr>
          <w:p w14:paraId="39E122D7">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3</w:t>
            </w:r>
          </w:p>
        </w:tc>
      </w:tr>
      <w:tr w14:paraId="5366A636">
        <w:tblPrEx>
          <w:tblCellMar>
            <w:top w:w="0" w:type="dxa"/>
            <w:left w:w="108" w:type="dxa"/>
            <w:bottom w:w="0" w:type="dxa"/>
            <w:right w:w="108" w:type="dxa"/>
          </w:tblCellMar>
        </w:tblPrEx>
        <w:trPr>
          <w:trHeight w:val="375" w:hRule="atLeast"/>
        </w:trPr>
        <w:tc>
          <w:tcPr>
            <w:tcW w:w="1415" w:type="dxa"/>
            <w:vMerge w:val="continue"/>
            <w:tcBorders>
              <w:top w:val="nil"/>
              <w:left w:val="single" w:color="auto" w:sz="8" w:space="0"/>
              <w:bottom w:val="single" w:color="000000" w:sz="8" w:space="0"/>
              <w:right w:val="single" w:color="auto" w:sz="8" w:space="0"/>
            </w:tcBorders>
            <w:vAlign w:val="center"/>
          </w:tcPr>
          <w:p w14:paraId="6E9E068A">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735EF0F3">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3D1AC3D2">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17F4F749">
            <w:pPr>
              <w:widowControl/>
              <w:jc w:val="left"/>
              <w:rPr>
                <w:rFonts w:ascii="Times New Roman" w:hAnsi="Times New Roman" w:eastAsia="宋体" w:cs="Times New Roman"/>
                <w:color w:val="000000"/>
                <w:kern w:val="0"/>
                <w:sz w:val="20"/>
                <w:szCs w:val="20"/>
              </w:rPr>
            </w:pPr>
          </w:p>
        </w:tc>
        <w:tc>
          <w:tcPr>
            <w:tcW w:w="1825" w:type="dxa"/>
            <w:tcBorders>
              <w:top w:val="single" w:color="auto" w:sz="8" w:space="0"/>
              <w:left w:val="nil"/>
              <w:bottom w:val="single" w:color="auto" w:sz="8" w:space="0"/>
              <w:right w:val="single" w:color="auto" w:sz="8" w:space="0"/>
            </w:tcBorders>
            <w:shd w:val="clear" w:color="auto" w:fill="auto"/>
            <w:vAlign w:val="center"/>
          </w:tcPr>
          <w:p w14:paraId="23D26C79">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结转结余率</w:t>
            </w:r>
          </w:p>
        </w:tc>
        <w:tc>
          <w:tcPr>
            <w:tcW w:w="846" w:type="dxa"/>
            <w:tcBorders>
              <w:top w:val="nil"/>
              <w:left w:val="single" w:color="auto" w:sz="8" w:space="0"/>
              <w:bottom w:val="single" w:color="000000" w:sz="8" w:space="0"/>
              <w:right w:val="single" w:color="auto" w:sz="8" w:space="0"/>
            </w:tcBorders>
            <w:shd w:val="clear" w:color="auto" w:fill="auto"/>
            <w:vAlign w:val="center"/>
          </w:tcPr>
          <w:p w14:paraId="6A70C831">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w:t>
            </w:r>
          </w:p>
        </w:tc>
        <w:tc>
          <w:tcPr>
            <w:tcW w:w="6287" w:type="dxa"/>
            <w:tcBorders>
              <w:top w:val="nil"/>
              <w:left w:val="single" w:color="auto" w:sz="8" w:space="0"/>
              <w:bottom w:val="single" w:color="000000" w:sz="8" w:space="0"/>
              <w:right w:val="single" w:color="auto" w:sz="8" w:space="0"/>
            </w:tcBorders>
            <w:shd w:val="clear" w:color="auto" w:fill="auto"/>
            <w:vAlign w:val="center"/>
          </w:tcPr>
          <w:p w14:paraId="75435060">
            <w:pPr>
              <w:widowControl/>
              <w:rPr>
                <w:rFonts w:ascii="宋体" w:hAnsi="宋体" w:eastAsia="宋体" w:cs="Tahoma"/>
                <w:color w:val="000000"/>
                <w:kern w:val="0"/>
                <w:szCs w:val="21"/>
              </w:rPr>
            </w:pPr>
            <w:r>
              <w:rPr>
                <w:rFonts w:hint="eastAsia" w:ascii="宋体" w:hAnsi="宋体" w:eastAsia="宋体" w:cs="Tahoma"/>
                <w:color w:val="000000"/>
                <w:kern w:val="0"/>
                <w:szCs w:val="21"/>
              </w:rPr>
              <w:t>无结转结余数（含本年度只结转了一次当年上级转移支付资金）得满分，其余情况不得分。</w:t>
            </w:r>
          </w:p>
        </w:tc>
        <w:tc>
          <w:tcPr>
            <w:tcW w:w="722" w:type="dxa"/>
            <w:tcBorders>
              <w:top w:val="nil"/>
              <w:left w:val="single" w:color="auto" w:sz="8" w:space="0"/>
              <w:bottom w:val="single" w:color="000000" w:sz="8" w:space="0"/>
              <w:right w:val="single" w:color="auto" w:sz="8" w:space="0"/>
            </w:tcBorders>
            <w:shd w:val="clear" w:color="auto" w:fill="auto"/>
            <w:vAlign w:val="center"/>
          </w:tcPr>
          <w:p w14:paraId="13AA0BA2">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4</w:t>
            </w:r>
          </w:p>
        </w:tc>
      </w:tr>
      <w:tr w14:paraId="4016CF11">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23ACCD12">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5B041F5E">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7D2051A6">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0F5DF3B2">
            <w:pPr>
              <w:widowControl/>
              <w:jc w:val="left"/>
              <w:rPr>
                <w:rFonts w:ascii="Times New Roman" w:hAnsi="Times New Roman" w:eastAsia="宋体" w:cs="Times New Roman"/>
                <w:color w:val="000000"/>
                <w:kern w:val="0"/>
                <w:sz w:val="20"/>
                <w:szCs w:val="20"/>
              </w:rPr>
            </w:pPr>
          </w:p>
        </w:tc>
        <w:tc>
          <w:tcPr>
            <w:tcW w:w="1825" w:type="dxa"/>
            <w:tcBorders>
              <w:top w:val="single" w:color="auto" w:sz="8" w:space="0"/>
              <w:left w:val="nil"/>
              <w:bottom w:val="single" w:color="auto" w:sz="8" w:space="0"/>
              <w:right w:val="single" w:color="auto" w:sz="8" w:space="0"/>
            </w:tcBorders>
            <w:shd w:val="clear" w:color="auto" w:fill="auto"/>
            <w:vAlign w:val="center"/>
          </w:tcPr>
          <w:p w14:paraId="4EA0BEB8">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公用经费控制率</w:t>
            </w:r>
          </w:p>
        </w:tc>
        <w:tc>
          <w:tcPr>
            <w:tcW w:w="846" w:type="dxa"/>
            <w:tcBorders>
              <w:top w:val="nil"/>
              <w:left w:val="single" w:color="auto" w:sz="8" w:space="0"/>
              <w:bottom w:val="single" w:color="000000" w:sz="8" w:space="0"/>
              <w:right w:val="single" w:color="auto" w:sz="8" w:space="0"/>
            </w:tcBorders>
            <w:shd w:val="clear" w:color="auto" w:fill="auto"/>
            <w:vAlign w:val="center"/>
          </w:tcPr>
          <w:p w14:paraId="0ED68A86">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w:t>
            </w:r>
          </w:p>
        </w:tc>
        <w:tc>
          <w:tcPr>
            <w:tcW w:w="6287" w:type="dxa"/>
            <w:tcBorders>
              <w:top w:val="nil"/>
              <w:left w:val="single" w:color="auto" w:sz="8" w:space="0"/>
              <w:bottom w:val="single" w:color="000000" w:sz="8" w:space="0"/>
              <w:right w:val="single" w:color="auto" w:sz="8" w:space="0"/>
            </w:tcBorders>
            <w:shd w:val="clear" w:color="auto" w:fill="auto"/>
            <w:vAlign w:val="center"/>
          </w:tcPr>
          <w:p w14:paraId="718FB227">
            <w:pPr>
              <w:widowControl/>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100%</w:t>
            </w:r>
            <w:r>
              <w:rPr>
                <w:rFonts w:hint="eastAsia" w:ascii="宋体" w:hAnsi="宋体" w:eastAsia="宋体" w:cs="Times New Roman"/>
                <w:color w:val="000000"/>
                <w:kern w:val="0"/>
                <w:sz w:val="20"/>
                <w:szCs w:val="20"/>
              </w:rPr>
              <w:t>以下（含）计满分，每超出</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扣</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分，扣完为止。</w:t>
            </w:r>
          </w:p>
        </w:tc>
        <w:tc>
          <w:tcPr>
            <w:tcW w:w="722" w:type="dxa"/>
            <w:tcBorders>
              <w:top w:val="nil"/>
              <w:left w:val="single" w:color="auto" w:sz="8" w:space="0"/>
              <w:bottom w:val="single" w:color="000000" w:sz="8" w:space="0"/>
              <w:right w:val="single" w:color="auto" w:sz="8" w:space="0"/>
            </w:tcBorders>
            <w:shd w:val="clear" w:color="auto" w:fill="auto"/>
            <w:vAlign w:val="center"/>
          </w:tcPr>
          <w:p w14:paraId="6AD2A66F">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w:t>
            </w:r>
          </w:p>
        </w:tc>
      </w:tr>
      <w:tr w14:paraId="1E7ECA55">
        <w:tblPrEx>
          <w:tblCellMar>
            <w:top w:w="0" w:type="dxa"/>
            <w:left w:w="108" w:type="dxa"/>
            <w:bottom w:w="0" w:type="dxa"/>
            <w:right w:w="108" w:type="dxa"/>
          </w:tblCellMar>
        </w:tblPrEx>
        <w:trPr>
          <w:trHeight w:val="540" w:hRule="atLeast"/>
        </w:trPr>
        <w:tc>
          <w:tcPr>
            <w:tcW w:w="1415" w:type="dxa"/>
            <w:vMerge w:val="continue"/>
            <w:tcBorders>
              <w:top w:val="nil"/>
              <w:left w:val="single" w:color="auto" w:sz="8" w:space="0"/>
              <w:bottom w:val="single" w:color="000000" w:sz="8" w:space="0"/>
              <w:right w:val="single" w:color="auto" w:sz="8" w:space="0"/>
            </w:tcBorders>
            <w:vAlign w:val="center"/>
          </w:tcPr>
          <w:p w14:paraId="7AF573EF">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13F9B8DB">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77C0A51F">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19FF522E">
            <w:pPr>
              <w:widowControl/>
              <w:jc w:val="left"/>
              <w:rPr>
                <w:rFonts w:ascii="Times New Roman" w:hAnsi="Times New Roman" w:eastAsia="宋体" w:cs="Times New Roman"/>
                <w:color w:val="000000"/>
                <w:kern w:val="0"/>
                <w:sz w:val="20"/>
                <w:szCs w:val="20"/>
              </w:rPr>
            </w:pPr>
          </w:p>
        </w:tc>
        <w:tc>
          <w:tcPr>
            <w:tcW w:w="1825" w:type="dxa"/>
            <w:tcBorders>
              <w:top w:val="single" w:color="auto" w:sz="8" w:space="0"/>
              <w:left w:val="nil"/>
              <w:bottom w:val="single" w:color="auto" w:sz="8" w:space="0"/>
              <w:right w:val="single" w:color="auto" w:sz="8" w:space="0"/>
            </w:tcBorders>
            <w:shd w:val="clear" w:color="auto" w:fill="auto"/>
            <w:vAlign w:val="center"/>
          </w:tcPr>
          <w:p w14:paraId="0748FBA0">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w:t>
            </w:r>
            <w:r>
              <w:rPr>
                <w:rFonts w:hint="eastAsia" w:ascii="宋体" w:hAnsi="宋体" w:eastAsia="宋体" w:cs="Times New Roman"/>
                <w:color w:val="000000"/>
                <w:kern w:val="0"/>
                <w:sz w:val="20"/>
                <w:szCs w:val="20"/>
              </w:rPr>
              <w:t>三公经费</w:t>
            </w:r>
            <w:r>
              <w:rPr>
                <w:rFonts w:ascii="Times New Roman" w:hAnsi="Times New Roman" w:eastAsia="宋体" w:cs="Times New Roman"/>
                <w:color w:val="000000"/>
                <w:kern w:val="0"/>
                <w:sz w:val="20"/>
                <w:szCs w:val="20"/>
              </w:rPr>
              <w:t>”</w:t>
            </w:r>
            <w:r>
              <w:rPr>
                <w:rFonts w:hint="eastAsia" w:ascii="宋体" w:hAnsi="宋体" w:eastAsia="宋体" w:cs="Times New Roman"/>
                <w:color w:val="000000"/>
                <w:kern w:val="0"/>
                <w:sz w:val="20"/>
                <w:szCs w:val="20"/>
              </w:rPr>
              <w:t>控制率</w:t>
            </w:r>
          </w:p>
        </w:tc>
        <w:tc>
          <w:tcPr>
            <w:tcW w:w="846" w:type="dxa"/>
            <w:tcBorders>
              <w:top w:val="nil"/>
              <w:left w:val="nil"/>
              <w:bottom w:val="single" w:color="auto" w:sz="8" w:space="0"/>
              <w:right w:val="single" w:color="auto" w:sz="8" w:space="0"/>
            </w:tcBorders>
            <w:shd w:val="clear" w:color="auto" w:fill="auto"/>
            <w:vAlign w:val="center"/>
          </w:tcPr>
          <w:p w14:paraId="37280A65">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w:t>
            </w:r>
          </w:p>
        </w:tc>
        <w:tc>
          <w:tcPr>
            <w:tcW w:w="6287" w:type="dxa"/>
            <w:tcBorders>
              <w:top w:val="nil"/>
              <w:left w:val="nil"/>
              <w:bottom w:val="single" w:color="auto" w:sz="8" w:space="0"/>
              <w:right w:val="single" w:color="auto" w:sz="8" w:space="0"/>
            </w:tcBorders>
            <w:shd w:val="clear" w:color="auto" w:fill="auto"/>
            <w:vAlign w:val="center"/>
          </w:tcPr>
          <w:p w14:paraId="4B076C67">
            <w:pPr>
              <w:widowControl/>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100%</w:t>
            </w:r>
            <w:r>
              <w:rPr>
                <w:rFonts w:hint="eastAsia" w:ascii="宋体" w:hAnsi="宋体" w:eastAsia="宋体" w:cs="Times New Roman"/>
                <w:color w:val="000000"/>
                <w:kern w:val="0"/>
                <w:sz w:val="20"/>
                <w:szCs w:val="20"/>
              </w:rPr>
              <w:t>以下（含）计满分，每超出</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扣</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分，扣完为止。</w:t>
            </w:r>
          </w:p>
        </w:tc>
        <w:tc>
          <w:tcPr>
            <w:tcW w:w="722" w:type="dxa"/>
            <w:tcBorders>
              <w:top w:val="nil"/>
              <w:left w:val="nil"/>
              <w:bottom w:val="single" w:color="auto" w:sz="8" w:space="0"/>
              <w:right w:val="single" w:color="auto" w:sz="8" w:space="0"/>
            </w:tcBorders>
            <w:shd w:val="clear" w:color="auto" w:fill="auto"/>
            <w:vAlign w:val="center"/>
          </w:tcPr>
          <w:p w14:paraId="24F02143">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w:t>
            </w:r>
          </w:p>
        </w:tc>
      </w:tr>
      <w:tr w14:paraId="3FB44569">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706CB209">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6AD2CD41">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7C6ED7C8">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09DDF825">
            <w:pPr>
              <w:widowControl/>
              <w:jc w:val="left"/>
              <w:rPr>
                <w:rFonts w:ascii="Times New Roman" w:hAnsi="Times New Roman" w:eastAsia="宋体" w:cs="Times New Roman"/>
                <w:color w:val="000000"/>
                <w:kern w:val="0"/>
                <w:sz w:val="20"/>
                <w:szCs w:val="20"/>
              </w:rPr>
            </w:pPr>
          </w:p>
        </w:tc>
        <w:tc>
          <w:tcPr>
            <w:tcW w:w="1825" w:type="dxa"/>
            <w:tcBorders>
              <w:top w:val="single" w:color="auto" w:sz="8" w:space="0"/>
              <w:left w:val="nil"/>
              <w:bottom w:val="single" w:color="auto" w:sz="8" w:space="0"/>
              <w:right w:val="single" w:color="auto" w:sz="8" w:space="0"/>
            </w:tcBorders>
            <w:shd w:val="clear" w:color="auto" w:fill="auto"/>
            <w:vAlign w:val="center"/>
          </w:tcPr>
          <w:p w14:paraId="2231BC5B">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政府采购执行率</w:t>
            </w:r>
          </w:p>
        </w:tc>
        <w:tc>
          <w:tcPr>
            <w:tcW w:w="846" w:type="dxa"/>
            <w:tcBorders>
              <w:top w:val="single" w:color="auto" w:sz="8" w:space="0"/>
              <w:left w:val="single" w:color="auto" w:sz="8" w:space="0"/>
              <w:bottom w:val="single" w:color="auto" w:sz="8" w:space="0"/>
              <w:right w:val="single" w:color="auto" w:sz="8" w:space="0"/>
            </w:tcBorders>
            <w:shd w:val="clear" w:color="auto" w:fill="auto"/>
            <w:vAlign w:val="center"/>
          </w:tcPr>
          <w:p w14:paraId="4A75F2D3">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w:t>
            </w:r>
          </w:p>
        </w:tc>
        <w:tc>
          <w:tcPr>
            <w:tcW w:w="6287" w:type="dxa"/>
            <w:tcBorders>
              <w:top w:val="nil"/>
              <w:left w:val="single" w:color="auto" w:sz="8" w:space="0"/>
              <w:bottom w:val="single" w:color="000000" w:sz="8" w:space="0"/>
              <w:right w:val="single" w:color="auto" w:sz="8" w:space="0"/>
            </w:tcBorders>
            <w:shd w:val="clear" w:color="auto" w:fill="auto"/>
            <w:vAlign w:val="center"/>
          </w:tcPr>
          <w:p w14:paraId="544D7207">
            <w:pPr>
              <w:widowControl/>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100%</w:t>
            </w:r>
            <w:r>
              <w:rPr>
                <w:rFonts w:hint="eastAsia" w:ascii="宋体" w:hAnsi="宋体" w:eastAsia="宋体" w:cs="Times New Roman"/>
                <w:color w:val="000000"/>
                <w:kern w:val="0"/>
                <w:sz w:val="20"/>
                <w:szCs w:val="20"/>
              </w:rPr>
              <w:t>计满分，每超过（降低）</w:t>
            </w:r>
            <w:r>
              <w:rPr>
                <w:rFonts w:ascii="Times New Roman" w:hAnsi="Times New Roman" w:eastAsia="宋体" w:cs="Times New Roman"/>
                <w:color w:val="000000"/>
                <w:kern w:val="0"/>
                <w:sz w:val="20"/>
                <w:szCs w:val="20"/>
              </w:rPr>
              <w:t>5%</w:t>
            </w:r>
            <w:r>
              <w:rPr>
                <w:rFonts w:hint="eastAsia" w:ascii="宋体" w:hAnsi="宋体" w:eastAsia="宋体" w:cs="Times New Roman"/>
                <w:color w:val="000000"/>
                <w:kern w:val="0"/>
                <w:sz w:val="20"/>
                <w:szCs w:val="20"/>
              </w:rPr>
              <w:t>扣</w:t>
            </w:r>
            <w:r>
              <w:rPr>
                <w:rFonts w:ascii="Times New Roman" w:hAnsi="Times New Roman" w:eastAsia="宋体" w:cs="Times New Roman"/>
                <w:color w:val="000000"/>
                <w:kern w:val="0"/>
                <w:sz w:val="20"/>
                <w:szCs w:val="20"/>
              </w:rPr>
              <w:t>2</w:t>
            </w:r>
            <w:r>
              <w:rPr>
                <w:rFonts w:hint="eastAsia" w:ascii="宋体" w:hAnsi="宋体" w:eastAsia="宋体" w:cs="Times New Roman"/>
                <w:color w:val="000000"/>
                <w:kern w:val="0"/>
                <w:sz w:val="20"/>
                <w:szCs w:val="20"/>
              </w:rPr>
              <w:t>分。扣完为止。</w:t>
            </w:r>
          </w:p>
        </w:tc>
        <w:tc>
          <w:tcPr>
            <w:tcW w:w="722" w:type="dxa"/>
            <w:tcBorders>
              <w:top w:val="nil"/>
              <w:left w:val="single" w:color="auto" w:sz="8" w:space="0"/>
              <w:bottom w:val="single" w:color="000000" w:sz="8" w:space="0"/>
              <w:right w:val="single" w:color="auto" w:sz="8" w:space="0"/>
            </w:tcBorders>
            <w:shd w:val="clear" w:color="auto" w:fill="auto"/>
            <w:vAlign w:val="center"/>
          </w:tcPr>
          <w:p w14:paraId="18630D42">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2.1</w:t>
            </w:r>
          </w:p>
        </w:tc>
      </w:tr>
      <w:tr w14:paraId="2D3B9C81">
        <w:tblPrEx>
          <w:tblCellMar>
            <w:top w:w="0" w:type="dxa"/>
            <w:left w:w="108" w:type="dxa"/>
            <w:bottom w:w="0" w:type="dxa"/>
            <w:right w:w="108" w:type="dxa"/>
          </w:tblCellMar>
        </w:tblPrEx>
        <w:trPr>
          <w:trHeight w:val="495" w:hRule="atLeast"/>
        </w:trPr>
        <w:tc>
          <w:tcPr>
            <w:tcW w:w="1415" w:type="dxa"/>
            <w:vMerge w:val="restart"/>
            <w:tcBorders>
              <w:top w:val="nil"/>
              <w:left w:val="single" w:color="auto" w:sz="8" w:space="0"/>
              <w:bottom w:val="single" w:color="000000" w:sz="8" w:space="0"/>
              <w:right w:val="single" w:color="auto" w:sz="8" w:space="0"/>
            </w:tcBorders>
            <w:shd w:val="clear" w:color="auto" w:fill="auto"/>
            <w:vAlign w:val="center"/>
          </w:tcPr>
          <w:p w14:paraId="4E2C502B">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过</w:t>
            </w:r>
            <w:r>
              <w:rPr>
                <w:rFonts w:ascii="Times New Roman" w:hAnsi="Times New Roman" w:eastAsia="宋体" w:cs="Times New Roman"/>
                <w:color w:val="000000"/>
                <w:kern w:val="0"/>
                <w:sz w:val="20"/>
                <w:szCs w:val="20"/>
              </w:rPr>
              <w:t xml:space="preserve">                                                                                                                                       </w:t>
            </w:r>
            <w:r>
              <w:rPr>
                <w:rFonts w:hint="eastAsia" w:ascii="宋体" w:hAnsi="宋体" w:eastAsia="宋体" w:cs="Tahoma"/>
                <w:color w:val="000000"/>
                <w:kern w:val="0"/>
                <w:sz w:val="20"/>
                <w:szCs w:val="20"/>
              </w:rPr>
              <w:t>程</w:t>
            </w:r>
          </w:p>
        </w:tc>
        <w:tc>
          <w:tcPr>
            <w:tcW w:w="985" w:type="dxa"/>
            <w:vMerge w:val="restart"/>
            <w:tcBorders>
              <w:top w:val="nil"/>
              <w:left w:val="single" w:color="auto" w:sz="8" w:space="0"/>
              <w:bottom w:val="single" w:color="000000" w:sz="8" w:space="0"/>
              <w:right w:val="single" w:color="auto" w:sz="8" w:space="0"/>
            </w:tcBorders>
            <w:shd w:val="clear" w:color="auto" w:fill="auto"/>
            <w:vAlign w:val="center"/>
          </w:tcPr>
          <w:p w14:paraId="32902C5D">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56</w:t>
            </w:r>
          </w:p>
        </w:tc>
        <w:tc>
          <w:tcPr>
            <w:tcW w:w="1265" w:type="dxa"/>
            <w:vMerge w:val="restart"/>
            <w:tcBorders>
              <w:top w:val="nil"/>
              <w:left w:val="single" w:color="auto" w:sz="8" w:space="0"/>
              <w:bottom w:val="single" w:color="000000" w:sz="8" w:space="0"/>
              <w:right w:val="single" w:color="auto" w:sz="8" w:space="0"/>
            </w:tcBorders>
            <w:shd w:val="clear" w:color="auto" w:fill="auto"/>
            <w:vAlign w:val="center"/>
          </w:tcPr>
          <w:p w14:paraId="04F04111">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预算管理</w:t>
            </w:r>
          </w:p>
        </w:tc>
        <w:tc>
          <w:tcPr>
            <w:tcW w:w="845" w:type="dxa"/>
            <w:vMerge w:val="restart"/>
            <w:tcBorders>
              <w:top w:val="nil"/>
              <w:left w:val="single" w:color="auto" w:sz="8" w:space="0"/>
              <w:bottom w:val="single" w:color="000000" w:sz="8" w:space="0"/>
              <w:right w:val="single" w:color="auto" w:sz="8" w:space="0"/>
            </w:tcBorders>
            <w:shd w:val="clear" w:color="auto" w:fill="auto"/>
            <w:vAlign w:val="center"/>
          </w:tcPr>
          <w:p w14:paraId="097EBDF4">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16</w:t>
            </w:r>
          </w:p>
        </w:tc>
        <w:tc>
          <w:tcPr>
            <w:tcW w:w="1825" w:type="dxa"/>
            <w:tcBorders>
              <w:top w:val="single" w:color="auto" w:sz="8" w:space="0"/>
              <w:left w:val="nil"/>
              <w:bottom w:val="nil"/>
              <w:right w:val="single" w:color="auto" w:sz="8" w:space="0"/>
            </w:tcBorders>
            <w:shd w:val="clear" w:color="auto" w:fill="auto"/>
            <w:vAlign w:val="center"/>
          </w:tcPr>
          <w:p w14:paraId="71092830">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管理</w:t>
            </w:r>
          </w:p>
        </w:tc>
        <w:tc>
          <w:tcPr>
            <w:tcW w:w="846"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3F0E429C">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4</w:t>
            </w:r>
          </w:p>
        </w:tc>
        <w:tc>
          <w:tcPr>
            <w:tcW w:w="6287" w:type="dxa"/>
            <w:tcBorders>
              <w:top w:val="nil"/>
              <w:left w:val="nil"/>
              <w:bottom w:val="nil"/>
              <w:right w:val="single" w:color="auto" w:sz="8" w:space="0"/>
            </w:tcBorders>
            <w:shd w:val="clear" w:color="auto" w:fill="auto"/>
            <w:vAlign w:val="center"/>
          </w:tcPr>
          <w:p w14:paraId="105C2982">
            <w:pPr>
              <w:widowControl/>
              <w:rPr>
                <w:rFonts w:ascii="Times New Roman" w:hAnsi="Times New Roman" w:eastAsia="宋体" w:cs="Times New Roman"/>
                <w:color w:val="000000"/>
                <w:kern w:val="0"/>
                <w:sz w:val="20"/>
                <w:szCs w:val="20"/>
              </w:rPr>
            </w:pPr>
            <w:r>
              <w:rPr>
                <w:rFonts w:hint="eastAsia" w:ascii="宋体" w:hAnsi="宋体" w:eastAsia="宋体" w:cs="Times New Roman"/>
                <w:color w:val="000000"/>
                <w:kern w:val="0"/>
                <w:sz w:val="20"/>
                <w:szCs w:val="20"/>
              </w:rPr>
              <w:t>①财务管理内控制度、会计核算制度等管理制度、有关反馈问题整改落实情况，</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restart"/>
            <w:tcBorders>
              <w:top w:val="nil"/>
              <w:left w:val="single" w:color="auto" w:sz="8" w:space="0"/>
              <w:bottom w:val="single" w:color="000000" w:sz="8" w:space="0"/>
              <w:right w:val="single" w:color="auto" w:sz="8" w:space="0"/>
            </w:tcBorders>
            <w:shd w:val="clear" w:color="auto" w:fill="auto"/>
            <w:vAlign w:val="center"/>
          </w:tcPr>
          <w:p w14:paraId="4F5CB217">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4</w:t>
            </w:r>
          </w:p>
        </w:tc>
      </w:tr>
      <w:tr w14:paraId="0115F8D6">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02F230CE">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59022B67">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3E5CC4CE">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69340E33">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3805D5CB">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制度</w:t>
            </w:r>
          </w:p>
        </w:tc>
        <w:tc>
          <w:tcPr>
            <w:tcW w:w="846" w:type="dxa"/>
            <w:vMerge w:val="continue"/>
            <w:tcBorders>
              <w:top w:val="nil"/>
              <w:left w:val="single" w:color="auto" w:sz="8" w:space="0"/>
              <w:bottom w:val="single" w:color="000000" w:sz="8" w:space="0"/>
              <w:right w:val="single" w:color="auto" w:sz="8" w:space="0"/>
            </w:tcBorders>
            <w:vAlign w:val="center"/>
          </w:tcPr>
          <w:p w14:paraId="4A95D604">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0DAB8C9F">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②</w:t>
            </w:r>
            <w:r>
              <w:rPr>
                <w:rFonts w:hint="eastAsia" w:ascii="宋体" w:hAnsi="宋体" w:eastAsia="宋体" w:cs="Times New Roman"/>
                <w:color w:val="000000"/>
                <w:kern w:val="0"/>
                <w:sz w:val="20"/>
                <w:szCs w:val="20"/>
              </w:rPr>
              <w:t>有本部门厉行节约制度，</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1E28ECE4">
            <w:pPr>
              <w:widowControl/>
              <w:jc w:val="center"/>
              <w:rPr>
                <w:rFonts w:ascii="Times New Roman" w:hAnsi="Times New Roman" w:eastAsia="宋体" w:cs="Times New Roman"/>
                <w:color w:val="000000"/>
                <w:kern w:val="0"/>
                <w:sz w:val="24"/>
                <w:szCs w:val="24"/>
              </w:rPr>
            </w:pPr>
          </w:p>
        </w:tc>
      </w:tr>
      <w:tr w14:paraId="04C618FB">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18EA5DD3">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29E9E446">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766DB8AA">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5ED5F575">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77D172D3">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健全性</w:t>
            </w:r>
          </w:p>
        </w:tc>
        <w:tc>
          <w:tcPr>
            <w:tcW w:w="846" w:type="dxa"/>
            <w:vMerge w:val="continue"/>
            <w:tcBorders>
              <w:top w:val="nil"/>
              <w:left w:val="single" w:color="auto" w:sz="8" w:space="0"/>
              <w:bottom w:val="single" w:color="000000" w:sz="8" w:space="0"/>
              <w:right w:val="single" w:color="auto" w:sz="8" w:space="0"/>
            </w:tcBorders>
            <w:vAlign w:val="center"/>
          </w:tcPr>
          <w:p w14:paraId="344F55C7">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246DC071">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③</w:t>
            </w:r>
            <w:r>
              <w:rPr>
                <w:rFonts w:hint="eastAsia" w:ascii="宋体" w:hAnsi="宋体" w:eastAsia="宋体" w:cs="Times New Roman"/>
                <w:color w:val="000000"/>
                <w:kern w:val="0"/>
                <w:sz w:val="20"/>
                <w:szCs w:val="20"/>
              </w:rPr>
              <w:t>相关管理制度合法、合规、完整，</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1F0EBF3E">
            <w:pPr>
              <w:widowControl/>
              <w:jc w:val="center"/>
              <w:rPr>
                <w:rFonts w:ascii="Times New Roman" w:hAnsi="Times New Roman" w:eastAsia="宋体" w:cs="Times New Roman"/>
                <w:color w:val="000000"/>
                <w:kern w:val="0"/>
                <w:sz w:val="24"/>
                <w:szCs w:val="24"/>
              </w:rPr>
            </w:pPr>
          </w:p>
        </w:tc>
      </w:tr>
      <w:tr w14:paraId="7C210F28">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388BCB39">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0C30ABCA">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6E19B4B4">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4C54B89C">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53F6A99F">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77FB68BE">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7C77D07C">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④</w:t>
            </w:r>
            <w:r>
              <w:rPr>
                <w:rFonts w:hint="eastAsia" w:ascii="宋体" w:hAnsi="宋体" w:eastAsia="宋体" w:cs="Times New Roman"/>
                <w:color w:val="000000"/>
                <w:kern w:val="0"/>
                <w:sz w:val="20"/>
                <w:szCs w:val="20"/>
              </w:rPr>
              <w:t>相关管理制度得到有效执行，</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7532AEA1">
            <w:pPr>
              <w:widowControl/>
              <w:jc w:val="center"/>
              <w:rPr>
                <w:rFonts w:ascii="Times New Roman" w:hAnsi="Times New Roman" w:eastAsia="宋体" w:cs="Times New Roman"/>
                <w:color w:val="000000"/>
                <w:kern w:val="0"/>
                <w:sz w:val="24"/>
                <w:szCs w:val="24"/>
              </w:rPr>
            </w:pPr>
          </w:p>
        </w:tc>
      </w:tr>
      <w:tr w14:paraId="713C30FF">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2D02D0D4">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569413CA">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677FA089">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3F9D672F">
            <w:pPr>
              <w:widowControl/>
              <w:jc w:val="left"/>
              <w:rPr>
                <w:rFonts w:ascii="Times New Roman" w:hAnsi="Times New Roman" w:eastAsia="宋体" w:cs="Times New Roman"/>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229BB937">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6EBE62D8">
            <w:pPr>
              <w:widowControl/>
              <w:jc w:val="left"/>
              <w:rPr>
                <w:rFonts w:ascii="Times New Roman" w:hAnsi="Times New Roman" w:eastAsia="宋体" w:cs="Times New Roman"/>
                <w:color w:val="000000"/>
                <w:kern w:val="0"/>
                <w:sz w:val="20"/>
                <w:szCs w:val="20"/>
              </w:rPr>
            </w:pPr>
          </w:p>
        </w:tc>
        <w:tc>
          <w:tcPr>
            <w:tcW w:w="6287" w:type="dxa"/>
            <w:tcBorders>
              <w:top w:val="nil"/>
              <w:left w:val="nil"/>
              <w:bottom w:val="single" w:color="auto" w:sz="8" w:space="0"/>
              <w:right w:val="single" w:color="auto" w:sz="8" w:space="0"/>
            </w:tcBorders>
            <w:shd w:val="clear" w:color="auto" w:fill="auto"/>
            <w:vAlign w:val="center"/>
          </w:tcPr>
          <w:p w14:paraId="0CCD95F1">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以上各项制度缺少一项扣</w:t>
            </w:r>
            <w:r>
              <w:rPr>
                <w:rFonts w:ascii="Times New Roman" w:hAnsi="Times New Roman" w:eastAsia="宋体" w:cs="Times New Roman"/>
                <w:color w:val="000000"/>
                <w:kern w:val="0"/>
                <w:sz w:val="20"/>
                <w:szCs w:val="20"/>
              </w:rPr>
              <w:t>1</w:t>
            </w:r>
            <w:r>
              <w:rPr>
                <w:rFonts w:hint="eastAsia" w:ascii="宋体" w:hAnsi="宋体" w:eastAsia="宋体" w:cs="Tahoma"/>
                <w:color w:val="000000"/>
                <w:kern w:val="0"/>
                <w:sz w:val="20"/>
                <w:szCs w:val="20"/>
              </w:rPr>
              <w:t>分，扣完为止。</w:t>
            </w:r>
          </w:p>
        </w:tc>
        <w:tc>
          <w:tcPr>
            <w:tcW w:w="722" w:type="dxa"/>
            <w:vMerge w:val="continue"/>
            <w:tcBorders>
              <w:top w:val="nil"/>
              <w:left w:val="single" w:color="auto" w:sz="8" w:space="0"/>
              <w:bottom w:val="single" w:color="000000" w:sz="8" w:space="0"/>
              <w:right w:val="single" w:color="auto" w:sz="8" w:space="0"/>
            </w:tcBorders>
            <w:vAlign w:val="center"/>
          </w:tcPr>
          <w:p w14:paraId="3C12A220">
            <w:pPr>
              <w:widowControl/>
              <w:jc w:val="center"/>
              <w:rPr>
                <w:rFonts w:ascii="Times New Roman" w:hAnsi="Times New Roman" w:eastAsia="宋体" w:cs="Times New Roman"/>
                <w:color w:val="000000"/>
                <w:kern w:val="0"/>
                <w:sz w:val="24"/>
                <w:szCs w:val="24"/>
              </w:rPr>
            </w:pPr>
          </w:p>
        </w:tc>
      </w:tr>
      <w:tr w14:paraId="5AC19620">
        <w:tblPrEx>
          <w:tblCellMar>
            <w:top w:w="0" w:type="dxa"/>
            <w:left w:w="108" w:type="dxa"/>
            <w:bottom w:w="0" w:type="dxa"/>
            <w:right w:w="108" w:type="dxa"/>
          </w:tblCellMar>
        </w:tblPrEx>
        <w:trPr>
          <w:trHeight w:val="390" w:hRule="atLeast"/>
        </w:trPr>
        <w:tc>
          <w:tcPr>
            <w:tcW w:w="1415" w:type="dxa"/>
            <w:vMerge w:val="continue"/>
            <w:tcBorders>
              <w:top w:val="nil"/>
              <w:left w:val="single" w:color="auto" w:sz="8" w:space="0"/>
              <w:bottom w:val="single" w:color="000000" w:sz="8" w:space="0"/>
              <w:right w:val="single" w:color="auto" w:sz="8" w:space="0"/>
            </w:tcBorders>
            <w:vAlign w:val="center"/>
          </w:tcPr>
          <w:p w14:paraId="71E47496">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71728010">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4E5CF764">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63F67B22">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3D2A2DFD">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资金</w:t>
            </w:r>
          </w:p>
        </w:tc>
        <w:tc>
          <w:tcPr>
            <w:tcW w:w="846" w:type="dxa"/>
            <w:vMerge w:val="restart"/>
            <w:tcBorders>
              <w:top w:val="nil"/>
              <w:left w:val="single" w:color="auto" w:sz="8" w:space="0"/>
              <w:bottom w:val="single" w:color="000000" w:sz="8" w:space="0"/>
              <w:right w:val="single" w:color="auto" w:sz="8" w:space="0"/>
            </w:tcBorders>
            <w:shd w:val="clear" w:color="auto" w:fill="auto"/>
            <w:vAlign w:val="center"/>
          </w:tcPr>
          <w:p w14:paraId="58F09FB5">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8</w:t>
            </w:r>
          </w:p>
        </w:tc>
        <w:tc>
          <w:tcPr>
            <w:tcW w:w="6287" w:type="dxa"/>
            <w:tcBorders>
              <w:top w:val="nil"/>
              <w:left w:val="nil"/>
              <w:bottom w:val="nil"/>
              <w:right w:val="single" w:color="auto" w:sz="8" w:space="0"/>
            </w:tcBorders>
            <w:shd w:val="clear" w:color="auto" w:fill="auto"/>
            <w:vAlign w:val="center"/>
          </w:tcPr>
          <w:p w14:paraId="40F3A2A8">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①</w:t>
            </w:r>
            <w:r>
              <w:rPr>
                <w:rFonts w:hint="eastAsia" w:ascii="宋体" w:hAnsi="宋体" w:eastAsia="宋体" w:cs="Times New Roman"/>
                <w:color w:val="000000"/>
                <w:kern w:val="0"/>
                <w:sz w:val="20"/>
                <w:szCs w:val="20"/>
              </w:rPr>
              <w:t>支出符合国家财经法规和财务管理制度规定以及有关专项资金管理办法的规定，</w:t>
            </w:r>
            <w:r>
              <w:rPr>
                <w:rFonts w:ascii="Times New Roman" w:hAnsi="Times New Roman" w:eastAsia="宋体" w:cs="Times New Roman"/>
                <w:color w:val="000000"/>
                <w:kern w:val="0"/>
                <w:sz w:val="20"/>
                <w:szCs w:val="20"/>
              </w:rPr>
              <w:t>2</w:t>
            </w:r>
            <w:r>
              <w:rPr>
                <w:rFonts w:hint="eastAsia" w:ascii="宋体" w:hAnsi="宋体" w:eastAsia="宋体" w:cs="Times New Roman"/>
                <w:color w:val="000000"/>
                <w:kern w:val="0"/>
                <w:sz w:val="20"/>
                <w:szCs w:val="20"/>
              </w:rPr>
              <w:t>分；</w:t>
            </w:r>
          </w:p>
        </w:tc>
        <w:tc>
          <w:tcPr>
            <w:tcW w:w="722" w:type="dxa"/>
            <w:vMerge w:val="restart"/>
            <w:tcBorders>
              <w:top w:val="nil"/>
              <w:left w:val="single" w:color="auto" w:sz="8" w:space="0"/>
              <w:bottom w:val="single" w:color="000000" w:sz="8" w:space="0"/>
              <w:right w:val="single" w:color="auto" w:sz="8" w:space="0"/>
            </w:tcBorders>
            <w:shd w:val="clear" w:color="auto" w:fill="auto"/>
            <w:vAlign w:val="center"/>
          </w:tcPr>
          <w:p w14:paraId="2751FE8A">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8</w:t>
            </w:r>
          </w:p>
        </w:tc>
      </w:tr>
      <w:tr w14:paraId="008A1D2F">
        <w:tblPrEx>
          <w:tblCellMar>
            <w:top w:w="0" w:type="dxa"/>
            <w:left w:w="108" w:type="dxa"/>
            <w:bottom w:w="0" w:type="dxa"/>
            <w:right w:w="108" w:type="dxa"/>
          </w:tblCellMar>
        </w:tblPrEx>
        <w:trPr>
          <w:trHeight w:val="390" w:hRule="atLeast"/>
        </w:trPr>
        <w:tc>
          <w:tcPr>
            <w:tcW w:w="1415" w:type="dxa"/>
            <w:vMerge w:val="continue"/>
            <w:tcBorders>
              <w:top w:val="nil"/>
              <w:left w:val="single" w:color="auto" w:sz="8" w:space="0"/>
              <w:bottom w:val="single" w:color="000000" w:sz="8" w:space="0"/>
              <w:right w:val="single" w:color="auto" w:sz="8" w:space="0"/>
            </w:tcBorders>
            <w:vAlign w:val="center"/>
          </w:tcPr>
          <w:p w14:paraId="424D73D2">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3A4C1018">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15344679">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76DB8BBF">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21A5F6DF">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使用</w:t>
            </w:r>
          </w:p>
        </w:tc>
        <w:tc>
          <w:tcPr>
            <w:tcW w:w="846" w:type="dxa"/>
            <w:vMerge w:val="continue"/>
            <w:tcBorders>
              <w:top w:val="nil"/>
              <w:left w:val="single" w:color="auto" w:sz="8" w:space="0"/>
              <w:bottom w:val="single" w:color="000000" w:sz="8" w:space="0"/>
              <w:right w:val="single" w:color="auto" w:sz="8" w:space="0"/>
            </w:tcBorders>
            <w:vAlign w:val="center"/>
          </w:tcPr>
          <w:p w14:paraId="46C21979">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0A8500FD">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②</w:t>
            </w:r>
            <w:r>
              <w:rPr>
                <w:rFonts w:hint="eastAsia" w:ascii="宋体" w:hAnsi="宋体" w:eastAsia="宋体" w:cs="Times New Roman"/>
                <w:color w:val="000000"/>
                <w:kern w:val="0"/>
                <w:sz w:val="20"/>
                <w:szCs w:val="20"/>
              </w:rPr>
              <w:t>资金拨付有完整的审批程序和手续，</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3FC4C298">
            <w:pPr>
              <w:widowControl/>
              <w:jc w:val="left"/>
              <w:rPr>
                <w:rFonts w:ascii="Times New Roman" w:hAnsi="Times New Roman" w:eastAsia="宋体" w:cs="Times New Roman"/>
                <w:color w:val="000000"/>
                <w:kern w:val="0"/>
                <w:sz w:val="24"/>
                <w:szCs w:val="24"/>
              </w:rPr>
            </w:pPr>
          </w:p>
        </w:tc>
      </w:tr>
      <w:tr w14:paraId="3155D576">
        <w:tblPrEx>
          <w:tblCellMar>
            <w:top w:w="0" w:type="dxa"/>
            <w:left w:w="108" w:type="dxa"/>
            <w:bottom w:w="0" w:type="dxa"/>
            <w:right w:w="108" w:type="dxa"/>
          </w:tblCellMar>
        </w:tblPrEx>
        <w:trPr>
          <w:trHeight w:val="390" w:hRule="atLeast"/>
        </w:trPr>
        <w:tc>
          <w:tcPr>
            <w:tcW w:w="1415" w:type="dxa"/>
            <w:vMerge w:val="continue"/>
            <w:tcBorders>
              <w:top w:val="nil"/>
              <w:left w:val="single" w:color="auto" w:sz="8" w:space="0"/>
              <w:bottom w:val="single" w:color="000000" w:sz="8" w:space="0"/>
              <w:right w:val="single" w:color="auto" w:sz="8" w:space="0"/>
            </w:tcBorders>
            <w:vAlign w:val="center"/>
          </w:tcPr>
          <w:p w14:paraId="1ABDDE2F">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587CA7F3">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7E16C77E">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1A2AFADB">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0D9E0BE4">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合规性</w:t>
            </w:r>
          </w:p>
        </w:tc>
        <w:tc>
          <w:tcPr>
            <w:tcW w:w="846" w:type="dxa"/>
            <w:vMerge w:val="continue"/>
            <w:tcBorders>
              <w:top w:val="nil"/>
              <w:left w:val="single" w:color="auto" w:sz="8" w:space="0"/>
              <w:bottom w:val="single" w:color="000000" w:sz="8" w:space="0"/>
              <w:right w:val="single" w:color="auto" w:sz="8" w:space="0"/>
            </w:tcBorders>
            <w:vAlign w:val="center"/>
          </w:tcPr>
          <w:p w14:paraId="78932519">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37962F77">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③</w:t>
            </w:r>
            <w:r>
              <w:rPr>
                <w:rFonts w:hint="eastAsia" w:ascii="宋体" w:hAnsi="宋体" w:eastAsia="宋体" w:cs="Times New Roman"/>
                <w:color w:val="000000"/>
                <w:kern w:val="0"/>
                <w:sz w:val="20"/>
                <w:szCs w:val="20"/>
              </w:rPr>
              <w:t>项目支出是否专款专用，无随意调整现象，</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6FDD865A">
            <w:pPr>
              <w:widowControl/>
              <w:jc w:val="left"/>
              <w:rPr>
                <w:rFonts w:ascii="Times New Roman" w:hAnsi="Times New Roman" w:eastAsia="宋体" w:cs="Times New Roman"/>
                <w:color w:val="000000"/>
                <w:kern w:val="0"/>
                <w:sz w:val="24"/>
                <w:szCs w:val="24"/>
              </w:rPr>
            </w:pPr>
          </w:p>
        </w:tc>
      </w:tr>
      <w:tr w14:paraId="51ABDC4D">
        <w:tblPrEx>
          <w:tblCellMar>
            <w:top w:w="0" w:type="dxa"/>
            <w:left w:w="108" w:type="dxa"/>
            <w:bottom w:w="0" w:type="dxa"/>
            <w:right w:w="108" w:type="dxa"/>
          </w:tblCellMar>
        </w:tblPrEx>
        <w:trPr>
          <w:trHeight w:val="390" w:hRule="atLeast"/>
        </w:trPr>
        <w:tc>
          <w:tcPr>
            <w:tcW w:w="1415" w:type="dxa"/>
            <w:vMerge w:val="continue"/>
            <w:tcBorders>
              <w:top w:val="nil"/>
              <w:left w:val="single" w:color="auto" w:sz="8" w:space="0"/>
              <w:bottom w:val="single" w:color="000000" w:sz="8" w:space="0"/>
              <w:right w:val="single" w:color="auto" w:sz="8" w:space="0"/>
            </w:tcBorders>
            <w:vAlign w:val="center"/>
          </w:tcPr>
          <w:p w14:paraId="49078C02">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7848FF4F">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30595F41">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775B63A7">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3528F099">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7E80B7F3">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0F4F9B52">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④</w:t>
            </w:r>
            <w:r>
              <w:rPr>
                <w:rFonts w:hint="eastAsia" w:ascii="宋体" w:hAnsi="宋体" w:eastAsia="宋体" w:cs="Times New Roman"/>
                <w:color w:val="000000"/>
                <w:kern w:val="0"/>
                <w:sz w:val="20"/>
                <w:szCs w:val="20"/>
              </w:rPr>
              <w:t>支出符合部门预算批复或合同规定使用的用途，</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3693E8D1">
            <w:pPr>
              <w:widowControl/>
              <w:jc w:val="left"/>
              <w:rPr>
                <w:rFonts w:ascii="Times New Roman" w:hAnsi="Times New Roman" w:eastAsia="宋体" w:cs="Times New Roman"/>
                <w:color w:val="000000"/>
                <w:kern w:val="0"/>
                <w:sz w:val="24"/>
                <w:szCs w:val="24"/>
              </w:rPr>
            </w:pPr>
          </w:p>
        </w:tc>
      </w:tr>
      <w:tr w14:paraId="06B9C3C9">
        <w:tblPrEx>
          <w:tblCellMar>
            <w:top w:w="0" w:type="dxa"/>
            <w:left w:w="108" w:type="dxa"/>
            <w:bottom w:w="0" w:type="dxa"/>
            <w:right w:w="108" w:type="dxa"/>
          </w:tblCellMar>
        </w:tblPrEx>
        <w:trPr>
          <w:trHeight w:val="390" w:hRule="atLeast"/>
        </w:trPr>
        <w:tc>
          <w:tcPr>
            <w:tcW w:w="1415" w:type="dxa"/>
            <w:vMerge w:val="continue"/>
            <w:tcBorders>
              <w:top w:val="nil"/>
              <w:left w:val="single" w:color="auto" w:sz="8" w:space="0"/>
              <w:bottom w:val="single" w:color="000000" w:sz="8" w:space="0"/>
              <w:right w:val="single" w:color="auto" w:sz="8" w:space="0"/>
            </w:tcBorders>
            <w:vAlign w:val="center"/>
          </w:tcPr>
          <w:p w14:paraId="680199D3">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587E1859">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523273DB">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3350C5B9">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7715C8A3">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3237E0ED">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303749F3">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⑤</w:t>
            </w:r>
            <w:r>
              <w:rPr>
                <w:rFonts w:hint="eastAsia" w:ascii="宋体" w:hAnsi="宋体" w:eastAsia="宋体" w:cs="Times New Roman"/>
                <w:color w:val="000000"/>
                <w:kern w:val="0"/>
                <w:sz w:val="20"/>
                <w:szCs w:val="20"/>
              </w:rPr>
              <w:t>资金使用无截留、挤占、挪用、虚列支出等情况，</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r>
              <w:rPr>
                <w:rFonts w:ascii="宋体" w:hAnsi="宋体" w:eastAsia="宋体" w:cs="宋体"/>
                <w:color w:val="000000"/>
                <w:kern w:val="0"/>
                <w:sz w:val="20"/>
                <w:szCs w:val="20"/>
              </w:rPr>
              <w:t>⑥</w:t>
            </w:r>
            <w:r>
              <w:rPr>
                <w:rFonts w:hint="eastAsia" w:ascii="宋体" w:hAnsi="宋体" w:eastAsia="宋体" w:cs="Times New Roman"/>
                <w:color w:val="000000"/>
                <w:kern w:val="0"/>
                <w:sz w:val="20"/>
                <w:szCs w:val="20"/>
              </w:rPr>
              <w:t>大额资金使用经单位党组集体讨论决策，</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4DD4CE91">
            <w:pPr>
              <w:widowControl/>
              <w:jc w:val="left"/>
              <w:rPr>
                <w:rFonts w:ascii="Times New Roman" w:hAnsi="Times New Roman" w:eastAsia="宋体" w:cs="Times New Roman"/>
                <w:color w:val="000000"/>
                <w:kern w:val="0"/>
                <w:sz w:val="24"/>
                <w:szCs w:val="24"/>
              </w:rPr>
            </w:pPr>
          </w:p>
        </w:tc>
      </w:tr>
      <w:tr w14:paraId="0B2B6C7E">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5EA605BF">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62131A79">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666D7A41">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0BC87420">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12C67FB5">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06A82C75">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3CF582BE">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⑦</w:t>
            </w:r>
            <w:r>
              <w:rPr>
                <w:rFonts w:hint="eastAsia" w:ascii="宋体" w:hAnsi="宋体" w:eastAsia="宋体" w:cs="Times New Roman"/>
                <w:color w:val="000000"/>
                <w:kern w:val="0"/>
                <w:sz w:val="20"/>
                <w:szCs w:val="20"/>
              </w:rPr>
              <w:t>按政府会计准则制度进行账务处理，</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32BF964C">
            <w:pPr>
              <w:widowControl/>
              <w:jc w:val="left"/>
              <w:rPr>
                <w:rFonts w:ascii="Times New Roman" w:hAnsi="Times New Roman" w:eastAsia="宋体" w:cs="Times New Roman"/>
                <w:color w:val="000000"/>
                <w:kern w:val="0"/>
                <w:sz w:val="24"/>
                <w:szCs w:val="24"/>
              </w:rPr>
            </w:pPr>
          </w:p>
        </w:tc>
      </w:tr>
      <w:tr w14:paraId="7865AD49">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0292AE4A">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5E2ECEE8">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570B59B1">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11503E00">
            <w:pPr>
              <w:widowControl/>
              <w:jc w:val="left"/>
              <w:rPr>
                <w:rFonts w:ascii="Times New Roman" w:hAnsi="Times New Roman" w:eastAsia="宋体" w:cs="Times New Roman"/>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3A6F630F">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4BCE77A3">
            <w:pPr>
              <w:widowControl/>
              <w:jc w:val="left"/>
              <w:rPr>
                <w:rFonts w:ascii="Times New Roman" w:hAnsi="Times New Roman" w:eastAsia="宋体" w:cs="Times New Roman"/>
                <w:color w:val="000000"/>
                <w:kern w:val="0"/>
                <w:sz w:val="20"/>
                <w:szCs w:val="20"/>
              </w:rPr>
            </w:pPr>
          </w:p>
        </w:tc>
        <w:tc>
          <w:tcPr>
            <w:tcW w:w="6287" w:type="dxa"/>
            <w:tcBorders>
              <w:top w:val="nil"/>
              <w:left w:val="nil"/>
              <w:bottom w:val="single" w:color="auto" w:sz="8" w:space="0"/>
              <w:right w:val="single" w:color="auto" w:sz="8" w:space="0"/>
            </w:tcBorders>
            <w:shd w:val="clear" w:color="auto" w:fill="auto"/>
            <w:vAlign w:val="center"/>
          </w:tcPr>
          <w:p w14:paraId="6C91DB46">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以上情况每出现一例不符合要求的扣</w:t>
            </w:r>
            <w:r>
              <w:rPr>
                <w:rFonts w:ascii="Times New Roman" w:hAnsi="Times New Roman" w:eastAsia="宋体" w:cs="Times New Roman"/>
                <w:color w:val="000000"/>
                <w:kern w:val="0"/>
                <w:sz w:val="20"/>
                <w:szCs w:val="20"/>
              </w:rPr>
              <w:t>1</w:t>
            </w:r>
            <w:r>
              <w:rPr>
                <w:rFonts w:hint="eastAsia" w:ascii="宋体" w:hAnsi="宋体" w:eastAsia="宋体" w:cs="Tahoma"/>
                <w:color w:val="000000"/>
                <w:kern w:val="0"/>
                <w:sz w:val="20"/>
                <w:szCs w:val="20"/>
              </w:rPr>
              <w:t>分以上，扣完为止。</w:t>
            </w:r>
          </w:p>
        </w:tc>
        <w:tc>
          <w:tcPr>
            <w:tcW w:w="722" w:type="dxa"/>
            <w:vMerge w:val="continue"/>
            <w:tcBorders>
              <w:top w:val="nil"/>
              <w:left w:val="single" w:color="auto" w:sz="8" w:space="0"/>
              <w:bottom w:val="single" w:color="000000" w:sz="8" w:space="0"/>
              <w:right w:val="single" w:color="auto" w:sz="8" w:space="0"/>
            </w:tcBorders>
            <w:vAlign w:val="center"/>
          </w:tcPr>
          <w:p w14:paraId="66165F4F">
            <w:pPr>
              <w:widowControl/>
              <w:jc w:val="left"/>
              <w:rPr>
                <w:rFonts w:ascii="Times New Roman" w:hAnsi="Times New Roman" w:eastAsia="宋体" w:cs="Times New Roman"/>
                <w:color w:val="000000"/>
                <w:kern w:val="0"/>
                <w:sz w:val="24"/>
                <w:szCs w:val="24"/>
              </w:rPr>
            </w:pPr>
          </w:p>
        </w:tc>
      </w:tr>
      <w:tr w14:paraId="53D552E6">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52E2814E">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5AE26BD0">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73BE52AC">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26DDAAAA">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0EEA574E">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预决算信息</w:t>
            </w:r>
          </w:p>
        </w:tc>
        <w:tc>
          <w:tcPr>
            <w:tcW w:w="846" w:type="dxa"/>
            <w:vMerge w:val="restart"/>
            <w:tcBorders>
              <w:top w:val="nil"/>
              <w:left w:val="single" w:color="auto" w:sz="8" w:space="0"/>
              <w:bottom w:val="single" w:color="000000" w:sz="8" w:space="0"/>
              <w:right w:val="single" w:color="auto" w:sz="8" w:space="0"/>
            </w:tcBorders>
            <w:shd w:val="clear" w:color="auto" w:fill="auto"/>
            <w:vAlign w:val="center"/>
          </w:tcPr>
          <w:p w14:paraId="3F520A86">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4</w:t>
            </w:r>
          </w:p>
        </w:tc>
        <w:tc>
          <w:tcPr>
            <w:tcW w:w="6287" w:type="dxa"/>
            <w:tcBorders>
              <w:top w:val="nil"/>
              <w:left w:val="nil"/>
              <w:bottom w:val="nil"/>
              <w:right w:val="single" w:color="auto" w:sz="8" w:space="0"/>
            </w:tcBorders>
            <w:shd w:val="clear" w:color="auto" w:fill="auto"/>
            <w:vAlign w:val="center"/>
          </w:tcPr>
          <w:p w14:paraId="49535759">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①</w:t>
            </w:r>
            <w:r>
              <w:rPr>
                <w:rFonts w:hint="eastAsia" w:ascii="宋体" w:hAnsi="宋体" w:eastAsia="宋体" w:cs="Times New Roman"/>
                <w:color w:val="000000"/>
                <w:kern w:val="0"/>
                <w:sz w:val="20"/>
                <w:szCs w:val="20"/>
              </w:rPr>
              <w:t>规定内容公开预决算信息，</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restart"/>
            <w:tcBorders>
              <w:top w:val="nil"/>
              <w:left w:val="single" w:color="auto" w:sz="8" w:space="0"/>
              <w:bottom w:val="single" w:color="000000" w:sz="8" w:space="0"/>
              <w:right w:val="single" w:color="auto" w:sz="8" w:space="0"/>
            </w:tcBorders>
            <w:shd w:val="clear" w:color="auto" w:fill="auto"/>
            <w:vAlign w:val="center"/>
          </w:tcPr>
          <w:p w14:paraId="566B23B6">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4</w:t>
            </w:r>
          </w:p>
        </w:tc>
      </w:tr>
      <w:tr w14:paraId="0F4AF32C">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48D34019">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27A2FBB3">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5870F9D8">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7F502624">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6FB5FD35">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公开性</w:t>
            </w:r>
          </w:p>
        </w:tc>
        <w:tc>
          <w:tcPr>
            <w:tcW w:w="846" w:type="dxa"/>
            <w:vMerge w:val="continue"/>
            <w:tcBorders>
              <w:top w:val="nil"/>
              <w:left w:val="single" w:color="auto" w:sz="8" w:space="0"/>
              <w:bottom w:val="single" w:color="000000" w:sz="8" w:space="0"/>
              <w:right w:val="single" w:color="auto" w:sz="8" w:space="0"/>
            </w:tcBorders>
            <w:vAlign w:val="center"/>
          </w:tcPr>
          <w:p w14:paraId="7947FE64">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43759540">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②</w:t>
            </w:r>
            <w:r>
              <w:rPr>
                <w:rFonts w:hint="eastAsia" w:ascii="宋体" w:hAnsi="宋体" w:eastAsia="宋体" w:cs="Times New Roman"/>
                <w:color w:val="000000"/>
                <w:kern w:val="0"/>
                <w:sz w:val="20"/>
                <w:szCs w:val="20"/>
              </w:rPr>
              <w:t>按规定时限公开预决算信息，</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7F7B6B16">
            <w:pPr>
              <w:widowControl/>
              <w:jc w:val="center"/>
              <w:rPr>
                <w:rFonts w:ascii="Times New Roman" w:hAnsi="Times New Roman" w:eastAsia="宋体" w:cs="Times New Roman"/>
                <w:color w:val="000000"/>
                <w:kern w:val="0"/>
                <w:sz w:val="24"/>
                <w:szCs w:val="24"/>
              </w:rPr>
            </w:pPr>
          </w:p>
        </w:tc>
      </w:tr>
      <w:tr w14:paraId="63C97963">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2CAE0B42">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3A95D4D0">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71C94F35">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77695E2A">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58BF4CEB">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5BC80511">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3E6862CF">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③</w:t>
            </w:r>
            <w:r>
              <w:rPr>
                <w:rFonts w:hint="eastAsia" w:ascii="宋体" w:hAnsi="宋体" w:eastAsia="宋体" w:cs="Times New Roman"/>
                <w:color w:val="000000"/>
                <w:kern w:val="0"/>
                <w:sz w:val="20"/>
                <w:szCs w:val="20"/>
              </w:rPr>
              <w:t>基础数据信息和会计信息资料真实，</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0F565009">
            <w:pPr>
              <w:widowControl/>
              <w:jc w:val="center"/>
              <w:rPr>
                <w:rFonts w:ascii="Times New Roman" w:hAnsi="Times New Roman" w:eastAsia="宋体" w:cs="Times New Roman"/>
                <w:color w:val="000000"/>
                <w:kern w:val="0"/>
                <w:sz w:val="24"/>
                <w:szCs w:val="24"/>
              </w:rPr>
            </w:pPr>
          </w:p>
        </w:tc>
      </w:tr>
      <w:tr w14:paraId="1CFF4C25">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677614E5">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1309359E">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544AE59C">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1884F8DA">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705632D9">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18762A6D">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17B55276">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④</w:t>
            </w:r>
            <w:r>
              <w:rPr>
                <w:rFonts w:hint="eastAsia" w:ascii="宋体" w:hAnsi="宋体" w:eastAsia="宋体" w:cs="Times New Roman"/>
                <w:color w:val="000000"/>
                <w:kern w:val="0"/>
                <w:sz w:val="20"/>
                <w:szCs w:val="20"/>
              </w:rPr>
              <w:t>基础数据信息和会计信息资料完整，</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16986969">
            <w:pPr>
              <w:widowControl/>
              <w:jc w:val="center"/>
              <w:rPr>
                <w:rFonts w:ascii="Times New Roman" w:hAnsi="Times New Roman" w:eastAsia="宋体" w:cs="Times New Roman"/>
                <w:color w:val="000000"/>
                <w:kern w:val="0"/>
                <w:sz w:val="24"/>
                <w:szCs w:val="24"/>
              </w:rPr>
            </w:pPr>
          </w:p>
        </w:tc>
      </w:tr>
      <w:tr w14:paraId="26AE3973">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225EFA32">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57BEDF99">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059B048D">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5E352829">
            <w:pPr>
              <w:widowControl/>
              <w:jc w:val="left"/>
              <w:rPr>
                <w:rFonts w:ascii="Times New Roman" w:hAnsi="Times New Roman" w:eastAsia="宋体" w:cs="Times New Roman"/>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5D5D8C11">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46762CE9">
            <w:pPr>
              <w:widowControl/>
              <w:jc w:val="left"/>
              <w:rPr>
                <w:rFonts w:ascii="Times New Roman" w:hAnsi="Times New Roman" w:eastAsia="宋体" w:cs="Times New Roman"/>
                <w:color w:val="000000"/>
                <w:kern w:val="0"/>
                <w:sz w:val="20"/>
                <w:szCs w:val="20"/>
              </w:rPr>
            </w:pPr>
          </w:p>
        </w:tc>
        <w:tc>
          <w:tcPr>
            <w:tcW w:w="6287" w:type="dxa"/>
            <w:tcBorders>
              <w:top w:val="nil"/>
              <w:left w:val="nil"/>
              <w:bottom w:val="single" w:color="auto" w:sz="8" w:space="0"/>
              <w:right w:val="single" w:color="auto" w:sz="8" w:space="0"/>
            </w:tcBorders>
            <w:shd w:val="clear" w:color="auto" w:fill="auto"/>
            <w:vAlign w:val="center"/>
          </w:tcPr>
          <w:p w14:paraId="6F94D371">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每出现一例不符合要求的扣</w:t>
            </w:r>
            <w:r>
              <w:rPr>
                <w:rFonts w:ascii="Times New Roman" w:hAnsi="Times New Roman" w:eastAsia="宋体" w:cs="Times New Roman"/>
                <w:color w:val="000000"/>
                <w:kern w:val="0"/>
                <w:sz w:val="20"/>
                <w:szCs w:val="20"/>
              </w:rPr>
              <w:t>1</w:t>
            </w:r>
            <w:r>
              <w:rPr>
                <w:rFonts w:hint="eastAsia" w:ascii="宋体" w:hAnsi="宋体" w:eastAsia="宋体" w:cs="Tahoma"/>
                <w:color w:val="000000"/>
                <w:kern w:val="0"/>
                <w:sz w:val="20"/>
                <w:szCs w:val="20"/>
              </w:rPr>
              <w:t>分，扣完为止。</w:t>
            </w:r>
          </w:p>
        </w:tc>
        <w:tc>
          <w:tcPr>
            <w:tcW w:w="722" w:type="dxa"/>
            <w:vMerge w:val="continue"/>
            <w:tcBorders>
              <w:top w:val="nil"/>
              <w:left w:val="single" w:color="auto" w:sz="8" w:space="0"/>
              <w:bottom w:val="single" w:color="000000" w:sz="8" w:space="0"/>
              <w:right w:val="single" w:color="auto" w:sz="8" w:space="0"/>
            </w:tcBorders>
            <w:vAlign w:val="center"/>
          </w:tcPr>
          <w:p w14:paraId="50569416">
            <w:pPr>
              <w:widowControl/>
              <w:jc w:val="center"/>
              <w:rPr>
                <w:rFonts w:ascii="Times New Roman" w:hAnsi="Times New Roman" w:eastAsia="宋体" w:cs="Times New Roman"/>
                <w:color w:val="000000"/>
                <w:kern w:val="0"/>
                <w:sz w:val="24"/>
                <w:szCs w:val="24"/>
              </w:rPr>
            </w:pPr>
          </w:p>
        </w:tc>
      </w:tr>
      <w:tr w14:paraId="08DECB46">
        <w:tblPrEx>
          <w:tblCellMar>
            <w:top w:w="0" w:type="dxa"/>
            <w:left w:w="108" w:type="dxa"/>
            <w:bottom w:w="0" w:type="dxa"/>
            <w:right w:w="108" w:type="dxa"/>
          </w:tblCellMar>
        </w:tblPrEx>
        <w:trPr>
          <w:trHeight w:val="270" w:hRule="atLeast"/>
        </w:trPr>
        <w:tc>
          <w:tcPr>
            <w:tcW w:w="1415" w:type="dxa"/>
            <w:vMerge w:val="restart"/>
            <w:tcBorders>
              <w:top w:val="nil"/>
              <w:left w:val="single" w:color="auto" w:sz="8" w:space="0"/>
              <w:right w:val="single" w:color="auto" w:sz="8" w:space="0"/>
            </w:tcBorders>
            <w:shd w:val="clear" w:color="auto" w:fill="auto"/>
            <w:vAlign w:val="center"/>
          </w:tcPr>
          <w:p w14:paraId="5CE7235F">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过</w:t>
            </w:r>
          </w:p>
          <w:p w14:paraId="17F826CC">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程</w:t>
            </w:r>
          </w:p>
          <w:p w14:paraId="5FC3A8CD">
            <w:pPr>
              <w:widowControl/>
              <w:jc w:val="left"/>
              <w:rPr>
                <w:rFonts w:ascii="宋体" w:hAnsi="宋体" w:eastAsia="宋体" w:cs="Tahoma"/>
                <w:color w:val="000000"/>
                <w:kern w:val="0"/>
                <w:sz w:val="20"/>
                <w:szCs w:val="20"/>
              </w:rPr>
            </w:pPr>
            <w:r>
              <w:rPr>
                <w:rFonts w:ascii="Tahoma" w:hAnsi="Tahoma" w:eastAsia="宋体" w:cs="Tahoma"/>
                <w:color w:val="000000"/>
                <w:kern w:val="0"/>
                <w:sz w:val="22"/>
              </w:rPr>
              <w:t>　</w:t>
            </w:r>
          </w:p>
          <w:p w14:paraId="78FC764A">
            <w:pPr>
              <w:jc w:val="left"/>
              <w:rPr>
                <w:rFonts w:ascii="宋体" w:hAnsi="宋体" w:eastAsia="宋体" w:cs="Tahoma"/>
                <w:color w:val="000000"/>
                <w:kern w:val="0"/>
                <w:sz w:val="20"/>
                <w:szCs w:val="20"/>
              </w:rPr>
            </w:pPr>
          </w:p>
        </w:tc>
        <w:tc>
          <w:tcPr>
            <w:tcW w:w="985" w:type="dxa"/>
            <w:vMerge w:val="restart"/>
            <w:tcBorders>
              <w:top w:val="nil"/>
              <w:left w:val="single" w:color="auto" w:sz="8" w:space="0"/>
              <w:bottom w:val="single" w:color="000000" w:sz="8" w:space="0"/>
              <w:right w:val="single" w:color="auto" w:sz="8" w:space="0"/>
            </w:tcBorders>
            <w:shd w:val="clear" w:color="auto" w:fill="auto"/>
            <w:vAlign w:val="center"/>
          </w:tcPr>
          <w:p w14:paraId="3BB1D966">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56</w:t>
            </w:r>
          </w:p>
        </w:tc>
        <w:tc>
          <w:tcPr>
            <w:tcW w:w="1265" w:type="dxa"/>
            <w:vMerge w:val="restart"/>
            <w:tcBorders>
              <w:top w:val="nil"/>
              <w:left w:val="single" w:color="auto" w:sz="8" w:space="0"/>
              <w:bottom w:val="single" w:color="000000" w:sz="8" w:space="0"/>
              <w:right w:val="single" w:color="auto" w:sz="8" w:space="0"/>
            </w:tcBorders>
            <w:shd w:val="clear" w:color="auto" w:fill="auto"/>
            <w:vAlign w:val="center"/>
          </w:tcPr>
          <w:p w14:paraId="1548F361">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资产管理</w:t>
            </w:r>
          </w:p>
        </w:tc>
        <w:tc>
          <w:tcPr>
            <w:tcW w:w="845" w:type="dxa"/>
            <w:vMerge w:val="restart"/>
            <w:tcBorders>
              <w:top w:val="nil"/>
              <w:left w:val="single" w:color="auto" w:sz="8" w:space="0"/>
              <w:bottom w:val="single" w:color="000000" w:sz="8" w:space="0"/>
              <w:right w:val="single" w:color="auto" w:sz="8" w:space="0"/>
            </w:tcBorders>
            <w:shd w:val="clear" w:color="auto" w:fill="auto"/>
            <w:vAlign w:val="center"/>
          </w:tcPr>
          <w:p w14:paraId="1D9ED550">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9</w:t>
            </w:r>
          </w:p>
        </w:tc>
        <w:tc>
          <w:tcPr>
            <w:tcW w:w="1825" w:type="dxa"/>
            <w:tcBorders>
              <w:top w:val="nil"/>
              <w:left w:val="nil"/>
              <w:bottom w:val="nil"/>
              <w:right w:val="single" w:color="auto" w:sz="8" w:space="0"/>
            </w:tcBorders>
            <w:shd w:val="clear" w:color="auto" w:fill="auto"/>
            <w:vAlign w:val="center"/>
          </w:tcPr>
          <w:p w14:paraId="6282301E">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资产</w:t>
            </w:r>
          </w:p>
        </w:tc>
        <w:tc>
          <w:tcPr>
            <w:tcW w:w="846" w:type="dxa"/>
            <w:vMerge w:val="restart"/>
            <w:tcBorders>
              <w:top w:val="nil"/>
              <w:left w:val="single" w:color="auto" w:sz="8" w:space="0"/>
              <w:bottom w:val="single" w:color="000000" w:sz="8" w:space="0"/>
              <w:right w:val="single" w:color="auto" w:sz="8" w:space="0"/>
            </w:tcBorders>
            <w:shd w:val="clear" w:color="auto" w:fill="auto"/>
            <w:vAlign w:val="center"/>
          </w:tcPr>
          <w:p w14:paraId="6D586A29">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3</w:t>
            </w:r>
          </w:p>
        </w:tc>
        <w:tc>
          <w:tcPr>
            <w:tcW w:w="6287" w:type="dxa"/>
            <w:tcBorders>
              <w:top w:val="nil"/>
              <w:left w:val="nil"/>
              <w:bottom w:val="nil"/>
              <w:right w:val="single" w:color="auto" w:sz="8" w:space="0"/>
            </w:tcBorders>
            <w:shd w:val="clear" w:color="auto" w:fill="auto"/>
            <w:vAlign w:val="center"/>
          </w:tcPr>
          <w:p w14:paraId="1E9F7C71">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①</w:t>
            </w:r>
            <w:r>
              <w:rPr>
                <w:rFonts w:hint="eastAsia" w:ascii="宋体" w:hAnsi="宋体" w:eastAsia="宋体" w:cs="Times New Roman"/>
                <w:color w:val="000000"/>
                <w:kern w:val="0"/>
                <w:sz w:val="20"/>
                <w:szCs w:val="20"/>
              </w:rPr>
              <w:t>资产购置编制年度预算，</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restart"/>
            <w:tcBorders>
              <w:top w:val="nil"/>
              <w:left w:val="single" w:color="auto" w:sz="8" w:space="0"/>
              <w:bottom w:val="single" w:color="000000" w:sz="8" w:space="0"/>
              <w:right w:val="single" w:color="auto" w:sz="8" w:space="0"/>
            </w:tcBorders>
            <w:shd w:val="clear" w:color="auto" w:fill="auto"/>
            <w:vAlign w:val="center"/>
          </w:tcPr>
          <w:p w14:paraId="0DC54674">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r>
      <w:tr w14:paraId="0830E7C3">
        <w:tblPrEx>
          <w:tblCellMar>
            <w:top w:w="0" w:type="dxa"/>
            <w:left w:w="108" w:type="dxa"/>
            <w:bottom w:w="0" w:type="dxa"/>
            <w:right w:w="108" w:type="dxa"/>
          </w:tblCellMar>
        </w:tblPrEx>
        <w:trPr>
          <w:trHeight w:val="270" w:hRule="atLeast"/>
        </w:trPr>
        <w:tc>
          <w:tcPr>
            <w:tcW w:w="1415" w:type="dxa"/>
            <w:vMerge w:val="continue"/>
            <w:tcBorders>
              <w:left w:val="single" w:color="auto" w:sz="8" w:space="0"/>
              <w:right w:val="single" w:color="auto" w:sz="8" w:space="0"/>
            </w:tcBorders>
            <w:shd w:val="clear" w:color="auto" w:fill="auto"/>
            <w:vAlign w:val="center"/>
          </w:tcPr>
          <w:p w14:paraId="1FCE4FA7">
            <w:pPr>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260AE5E3">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3CF22C25">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6A3680A0">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10CE17EB">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管理</w:t>
            </w:r>
          </w:p>
        </w:tc>
        <w:tc>
          <w:tcPr>
            <w:tcW w:w="846" w:type="dxa"/>
            <w:vMerge w:val="continue"/>
            <w:tcBorders>
              <w:top w:val="nil"/>
              <w:left w:val="single" w:color="auto" w:sz="8" w:space="0"/>
              <w:bottom w:val="single" w:color="000000" w:sz="8" w:space="0"/>
              <w:right w:val="single" w:color="auto" w:sz="8" w:space="0"/>
            </w:tcBorders>
            <w:vAlign w:val="center"/>
          </w:tcPr>
          <w:p w14:paraId="1C8ED446">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6EBC718F">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②</w:t>
            </w:r>
            <w:r>
              <w:rPr>
                <w:rFonts w:hint="eastAsia" w:ascii="宋体" w:hAnsi="宋体" w:eastAsia="宋体" w:cs="Times New Roman"/>
                <w:color w:val="000000"/>
                <w:kern w:val="0"/>
                <w:sz w:val="20"/>
                <w:szCs w:val="20"/>
              </w:rPr>
              <w:t>资产购置和处置手续齐全，</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25FE801F">
            <w:pPr>
              <w:widowControl/>
              <w:jc w:val="center"/>
              <w:rPr>
                <w:rFonts w:ascii="Times New Roman" w:hAnsi="Times New Roman" w:eastAsia="宋体" w:cs="Times New Roman"/>
                <w:color w:val="000000"/>
                <w:kern w:val="0"/>
                <w:sz w:val="24"/>
                <w:szCs w:val="24"/>
              </w:rPr>
            </w:pPr>
          </w:p>
        </w:tc>
      </w:tr>
      <w:tr w14:paraId="0C8FC10E">
        <w:tblPrEx>
          <w:tblCellMar>
            <w:top w:w="0" w:type="dxa"/>
            <w:left w:w="108" w:type="dxa"/>
            <w:bottom w:w="0" w:type="dxa"/>
            <w:right w:w="108" w:type="dxa"/>
          </w:tblCellMar>
        </w:tblPrEx>
        <w:trPr>
          <w:trHeight w:val="270" w:hRule="atLeast"/>
        </w:trPr>
        <w:tc>
          <w:tcPr>
            <w:tcW w:w="1415" w:type="dxa"/>
            <w:vMerge w:val="continue"/>
            <w:tcBorders>
              <w:left w:val="single" w:color="auto" w:sz="8" w:space="0"/>
              <w:right w:val="single" w:color="auto" w:sz="8" w:space="0"/>
            </w:tcBorders>
            <w:shd w:val="clear" w:color="auto" w:fill="auto"/>
            <w:vAlign w:val="center"/>
          </w:tcPr>
          <w:p w14:paraId="3D682367">
            <w:pPr>
              <w:jc w:val="left"/>
              <w:rPr>
                <w:rFonts w:ascii="Tahoma" w:hAnsi="Tahoma" w:eastAsia="宋体" w:cs="Tahoma"/>
                <w:color w:val="000000"/>
                <w:kern w:val="0"/>
                <w:sz w:val="22"/>
              </w:rPr>
            </w:pPr>
          </w:p>
        </w:tc>
        <w:tc>
          <w:tcPr>
            <w:tcW w:w="985" w:type="dxa"/>
            <w:vMerge w:val="continue"/>
            <w:tcBorders>
              <w:top w:val="nil"/>
              <w:left w:val="single" w:color="auto" w:sz="8" w:space="0"/>
              <w:bottom w:val="single" w:color="000000" w:sz="8" w:space="0"/>
              <w:right w:val="single" w:color="auto" w:sz="8" w:space="0"/>
            </w:tcBorders>
            <w:vAlign w:val="center"/>
          </w:tcPr>
          <w:p w14:paraId="777FCB9D">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7E8B702A">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378A017A">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465A3050">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制度</w:t>
            </w:r>
          </w:p>
        </w:tc>
        <w:tc>
          <w:tcPr>
            <w:tcW w:w="846" w:type="dxa"/>
            <w:vMerge w:val="continue"/>
            <w:tcBorders>
              <w:top w:val="nil"/>
              <w:left w:val="single" w:color="auto" w:sz="8" w:space="0"/>
              <w:bottom w:val="single" w:color="000000" w:sz="8" w:space="0"/>
              <w:right w:val="single" w:color="auto" w:sz="8" w:space="0"/>
            </w:tcBorders>
            <w:vAlign w:val="center"/>
          </w:tcPr>
          <w:p w14:paraId="6D8B1813">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7868E51F">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③</w:t>
            </w:r>
            <w:r>
              <w:rPr>
                <w:rFonts w:hint="eastAsia" w:ascii="宋体" w:hAnsi="宋体" w:eastAsia="宋体" w:cs="Times New Roman"/>
                <w:color w:val="000000"/>
                <w:kern w:val="0"/>
                <w:sz w:val="20"/>
                <w:szCs w:val="20"/>
              </w:rPr>
              <w:t>资产处置和有偿使用资金足额上缴，</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7998CC9F">
            <w:pPr>
              <w:widowControl/>
              <w:jc w:val="center"/>
              <w:rPr>
                <w:rFonts w:ascii="Times New Roman" w:hAnsi="Times New Roman" w:eastAsia="宋体" w:cs="Times New Roman"/>
                <w:color w:val="000000"/>
                <w:kern w:val="0"/>
                <w:sz w:val="24"/>
                <w:szCs w:val="24"/>
              </w:rPr>
            </w:pPr>
          </w:p>
        </w:tc>
      </w:tr>
      <w:tr w14:paraId="2EF6B5A7">
        <w:tblPrEx>
          <w:tblCellMar>
            <w:top w:w="0" w:type="dxa"/>
            <w:left w:w="108" w:type="dxa"/>
            <w:bottom w:w="0" w:type="dxa"/>
            <w:right w:w="108" w:type="dxa"/>
          </w:tblCellMar>
        </w:tblPrEx>
        <w:trPr>
          <w:trHeight w:val="270" w:hRule="atLeast"/>
        </w:trPr>
        <w:tc>
          <w:tcPr>
            <w:tcW w:w="1415" w:type="dxa"/>
            <w:vMerge w:val="continue"/>
            <w:tcBorders>
              <w:left w:val="single" w:color="auto" w:sz="8" w:space="0"/>
              <w:right w:val="single" w:color="auto" w:sz="8" w:space="0"/>
            </w:tcBorders>
            <w:shd w:val="clear" w:color="auto" w:fill="auto"/>
            <w:vAlign w:val="center"/>
          </w:tcPr>
          <w:p w14:paraId="52230A5E">
            <w:pPr>
              <w:jc w:val="left"/>
              <w:rPr>
                <w:rFonts w:ascii="Tahoma" w:hAnsi="Tahoma" w:eastAsia="宋体" w:cs="Tahoma"/>
                <w:color w:val="000000"/>
                <w:kern w:val="0"/>
                <w:sz w:val="22"/>
              </w:rPr>
            </w:pPr>
          </w:p>
        </w:tc>
        <w:tc>
          <w:tcPr>
            <w:tcW w:w="985" w:type="dxa"/>
            <w:vMerge w:val="continue"/>
            <w:tcBorders>
              <w:top w:val="nil"/>
              <w:left w:val="single" w:color="auto" w:sz="8" w:space="0"/>
              <w:bottom w:val="single" w:color="000000" w:sz="8" w:space="0"/>
              <w:right w:val="single" w:color="auto" w:sz="8" w:space="0"/>
            </w:tcBorders>
            <w:vAlign w:val="center"/>
          </w:tcPr>
          <w:p w14:paraId="00D64476">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305A0A0D">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2E087A14">
            <w:pPr>
              <w:widowControl/>
              <w:jc w:val="left"/>
              <w:rPr>
                <w:rFonts w:ascii="Times New Roman" w:hAnsi="Times New Roman" w:eastAsia="宋体" w:cs="Times New Roman"/>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0CCB2DE3">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健全性</w:t>
            </w:r>
          </w:p>
        </w:tc>
        <w:tc>
          <w:tcPr>
            <w:tcW w:w="846" w:type="dxa"/>
            <w:vMerge w:val="continue"/>
            <w:tcBorders>
              <w:top w:val="nil"/>
              <w:left w:val="single" w:color="auto" w:sz="8" w:space="0"/>
              <w:bottom w:val="single" w:color="000000" w:sz="8" w:space="0"/>
              <w:right w:val="single" w:color="auto" w:sz="8" w:space="0"/>
            </w:tcBorders>
            <w:vAlign w:val="center"/>
          </w:tcPr>
          <w:p w14:paraId="2F73770E">
            <w:pPr>
              <w:widowControl/>
              <w:jc w:val="left"/>
              <w:rPr>
                <w:rFonts w:ascii="Times New Roman" w:hAnsi="Times New Roman" w:eastAsia="宋体" w:cs="Times New Roman"/>
                <w:color w:val="000000"/>
                <w:kern w:val="0"/>
                <w:sz w:val="20"/>
                <w:szCs w:val="20"/>
              </w:rPr>
            </w:pPr>
          </w:p>
        </w:tc>
        <w:tc>
          <w:tcPr>
            <w:tcW w:w="6287" w:type="dxa"/>
            <w:tcBorders>
              <w:top w:val="nil"/>
              <w:left w:val="nil"/>
              <w:bottom w:val="single" w:color="auto" w:sz="8" w:space="0"/>
              <w:right w:val="single" w:color="auto" w:sz="8" w:space="0"/>
            </w:tcBorders>
            <w:shd w:val="clear" w:color="auto" w:fill="auto"/>
            <w:vAlign w:val="center"/>
          </w:tcPr>
          <w:p w14:paraId="364C4430">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以上每一项不符合规定扣</w:t>
            </w:r>
            <w:r>
              <w:rPr>
                <w:rFonts w:ascii="Times New Roman" w:hAnsi="Times New Roman" w:eastAsia="宋体" w:cs="Times New Roman"/>
                <w:color w:val="000000"/>
                <w:kern w:val="0"/>
                <w:sz w:val="20"/>
                <w:szCs w:val="20"/>
              </w:rPr>
              <w:t>1</w:t>
            </w:r>
            <w:r>
              <w:rPr>
                <w:rFonts w:hint="eastAsia" w:ascii="宋体" w:hAnsi="宋体" w:eastAsia="宋体" w:cs="Tahoma"/>
                <w:color w:val="000000"/>
                <w:kern w:val="0"/>
                <w:sz w:val="20"/>
                <w:szCs w:val="20"/>
              </w:rPr>
              <w:t>分，扣完即止。</w:t>
            </w:r>
          </w:p>
        </w:tc>
        <w:tc>
          <w:tcPr>
            <w:tcW w:w="722" w:type="dxa"/>
            <w:vMerge w:val="continue"/>
            <w:tcBorders>
              <w:top w:val="nil"/>
              <w:left w:val="single" w:color="auto" w:sz="8" w:space="0"/>
              <w:bottom w:val="single" w:color="000000" w:sz="8" w:space="0"/>
              <w:right w:val="single" w:color="auto" w:sz="8" w:space="0"/>
            </w:tcBorders>
            <w:vAlign w:val="center"/>
          </w:tcPr>
          <w:p w14:paraId="79B47502">
            <w:pPr>
              <w:widowControl/>
              <w:jc w:val="center"/>
              <w:rPr>
                <w:rFonts w:ascii="Times New Roman" w:hAnsi="Times New Roman" w:eastAsia="宋体" w:cs="Times New Roman"/>
                <w:color w:val="000000"/>
                <w:kern w:val="0"/>
                <w:sz w:val="24"/>
                <w:szCs w:val="24"/>
              </w:rPr>
            </w:pPr>
          </w:p>
        </w:tc>
      </w:tr>
      <w:tr w14:paraId="53FACE18">
        <w:tblPrEx>
          <w:tblCellMar>
            <w:top w:w="0" w:type="dxa"/>
            <w:left w:w="108" w:type="dxa"/>
            <w:bottom w:w="0" w:type="dxa"/>
            <w:right w:w="108" w:type="dxa"/>
          </w:tblCellMar>
        </w:tblPrEx>
        <w:trPr>
          <w:trHeight w:val="495" w:hRule="atLeast"/>
        </w:trPr>
        <w:tc>
          <w:tcPr>
            <w:tcW w:w="1415" w:type="dxa"/>
            <w:vMerge w:val="continue"/>
            <w:tcBorders>
              <w:left w:val="single" w:color="auto" w:sz="8" w:space="0"/>
              <w:right w:val="single" w:color="auto" w:sz="8" w:space="0"/>
            </w:tcBorders>
            <w:shd w:val="clear" w:color="auto" w:fill="auto"/>
            <w:vAlign w:val="center"/>
          </w:tcPr>
          <w:p w14:paraId="1F133D7E">
            <w:pPr>
              <w:jc w:val="left"/>
              <w:rPr>
                <w:rFonts w:ascii="Tahoma" w:hAnsi="Tahoma" w:eastAsia="宋体" w:cs="Tahoma"/>
                <w:color w:val="000000"/>
                <w:kern w:val="0"/>
                <w:sz w:val="22"/>
              </w:rPr>
            </w:pPr>
          </w:p>
        </w:tc>
        <w:tc>
          <w:tcPr>
            <w:tcW w:w="985" w:type="dxa"/>
            <w:vMerge w:val="continue"/>
            <w:tcBorders>
              <w:top w:val="nil"/>
              <w:left w:val="single" w:color="auto" w:sz="8" w:space="0"/>
              <w:bottom w:val="single" w:color="000000" w:sz="8" w:space="0"/>
              <w:right w:val="single" w:color="auto" w:sz="8" w:space="0"/>
            </w:tcBorders>
            <w:vAlign w:val="center"/>
          </w:tcPr>
          <w:p w14:paraId="0C8CAC2F">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225178B0">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442AF287">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546B4E67">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资产</w:t>
            </w:r>
          </w:p>
        </w:tc>
        <w:tc>
          <w:tcPr>
            <w:tcW w:w="846" w:type="dxa"/>
            <w:vMerge w:val="restart"/>
            <w:tcBorders>
              <w:top w:val="nil"/>
              <w:left w:val="single" w:color="auto" w:sz="8" w:space="0"/>
              <w:bottom w:val="single" w:color="000000" w:sz="8" w:space="0"/>
              <w:right w:val="single" w:color="auto" w:sz="8" w:space="0"/>
            </w:tcBorders>
            <w:shd w:val="clear" w:color="auto" w:fill="auto"/>
            <w:vAlign w:val="center"/>
          </w:tcPr>
          <w:p w14:paraId="5B37F01D">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w:t>
            </w:r>
          </w:p>
        </w:tc>
        <w:tc>
          <w:tcPr>
            <w:tcW w:w="6287" w:type="dxa"/>
            <w:tcBorders>
              <w:top w:val="nil"/>
              <w:left w:val="nil"/>
              <w:bottom w:val="nil"/>
              <w:right w:val="single" w:color="auto" w:sz="8" w:space="0"/>
            </w:tcBorders>
            <w:shd w:val="clear" w:color="auto" w:fill="auto"/>
            <w:vAlign w:val="center"/>
          </w:tcPr>
          <w:p w14:paraId="79E07016">
            <w:pPr>
              <w:widowControl/>
              <w:rPr>
                <w:rFonts w:ascii="Times New Roman" w:hAnsi="Times New Roman" w:eastAsia="宋体" w:cs="Times New Roman"/>
                <w:color w:val="000000"/>
                <w:kern w:val="0"/>
                <w:sz w:val="20"/>
                <w:szCs w:val="20"/>
              </w:rPr>
            </w:pPr>
            <w:r>
              <w:rPr>
                <w:rFonts w:hint="eastAsia" w:ascii="宋体" w:hAnsi="宋体" w:eastAsia="宋体" w:cs="Times New Roman"/>
                <w:color w:val="000000"/>
                <w:kern w:val="0"/>
                <w:sz w:val="20"/>
                <w:szCs w:val="20"/>
              </w:rPr>
              <w:t>①资产配置合理、保管完整，账实相符的，计</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分，发现一例不符，扣</w:t>
            </w:r>
            <w:r>
              <w:rPr>
                <w:rFonts w:ascii="Times New Roman" w:hAnsi="Times New Roman" w:eastAsia="宋体" w:cs="Times New Roman"/>
                <w:color w:val="000000"/>
                <w:kern w:val="0"/>
                <w:sz w:val="20"/>
                <w:szCs w:val="20"/>
              </w:rPr>
              <w:t>0.5</w:t>
            </w:r>
            <w:r>
              <w:rPr>
                <w:rFonts w:hint="eastAsia" w:ascii="宋体" w:hAnsi="宋体" w:eastAsia="宋体" w:cs="Times New Roman"/>
                <w:color w:val="000000"/>
                <w:kern w:val="0"/>
                <w:sz w:val="20"/>
                <w:szCs w:val="20"/>
              </w:rPr>
              <w:t>分，扣完为止；</w:t>
            </w:r>
          </w:p>
        </w:tc>
        <w:tc>
          <w:tcPr>
            <w:tcW w:w="722" w:type="dxa"/>
            <w:vMerge w:val="restart"/>
            <w:tcBorders>
              <w:top w:val="nil"/>
              <w:left w:val="single" w:color="auto" w:sz="8" w:space="0"/>
              <w:bottom w:val="single" w:color="000000" w:sz="8" w:space="0"/>
              <w:right w:val="single" w:color="auto" w:sz="8" w:space="0"/>
            </w:tcBorders>
            <w:shd w:val="clear" w:color="auto" w:fill="auto"/>
            <w:vAlign w:val="center"/>
          </w:tcPr>
          <w:p w14:paraId="3CE8B855">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w:t>
            </w:r>
          </w:p>
        </w:tc>
      </w:tr>
      <w:tr w14:paraId="284A6FF8">
        <w:tblPrEx>
          <w:tblCellMar>
            <w:top w:w="0" w:type="dxa"/>
            <w:left w:w="108" w:type="dxa"/>
            <w:bottom w:w="0" w:type="dxa"/>
            <w:right w:w="108" w:type="dxa"/>
          </w:tblCellMar>
        </w:tblPrEx>
        <w:trPr>
          <w:trHeight w:val="495" w:hRule="atLeast"/>
        </w:trPr>
        <w:tc>
          <w:tcPr>
            <w:tcW w:w="1415" w:type="dxa"/>
            <w:vMerge w:val="continue"/>
            <w:tcBorders>
              <w:left w:val="single" w:color="auto" w:sz="8" w:space="0"/>
              <w:right w:val="single" w:color="auto" w:sz="8" w:space="0"/>
            </w:tcBorders>
            <w:shd w:val="clear" w:color="auto" w:fill="auto"/>
            <w:vAlign w:val="center"/>
          </w:tcPr>
          <w:p w14:paraId="5052A5D7">
            <w:pPr>
              <w:jc w:val="left"/>
              <w:rPr>
                <w:rFonts w:ascii="Tahoma" w:hAnsi="Tahoma" w:eastAsia="宋体" w:cs="Tahoma"/>
                <w:color w:val="000000"/>
                <w:kern w:val="0"/>
                <w:sz w:val="22"/>
              </w:rPr>
            </w:pPr>
          </w:p>
        </w:tc>
        <w:tc>
          <w:tcPr>
            <w:tcW w:w="985" w:type="dxa"/>
            <w:vMerge w:val="continue"/>
            <w:tcBorders>
              <w:top w:val="nil"/>
              <w:left w:val="single" w:color="auto" w:sz="8" w:space="0"/>
              <w:bottom w:val="single" w:color="000000" w:sz="8" w:space="0"/>
              <w:right w:val="single" w:color="auto" w:sz="8" w:space="0"/>
            </w:tcBorders>
            <w:vAlign w:val="center"/>
          </w:tcPr>
          <w:p w14:paraId="2AA7DBC7">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2855A5DB">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65237369">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16BDA68F">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管理</w:t>
            </w:r>
          </w:p>
        </w:tc>
        <w:tc>
          <w:tcPr>
            <w:tcW w:w="846" w:type="dxa"/>
            <w:vMerge w:val="continue"/>
            <w:tcBorders>
              <w:top w:val="nil"/>
              <w:left w:val="single" w:color="auto" w:sz="8" w:space="0"/>
              <w:bottom w:val="single" w:color="000000" w:sz="8" w:space="0"/>
              <w:right w:val="single" w:color="auto" w:sz="8" w:space="0"/>
            </w:tcBorders>
            <w:vAlign w:val="center"/>
          </w:tcPr>
          <w:p w14:paraId="7478E34A">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160D4B37">
            <w:pPr>
              <w:widowControl/>
              <w:rPr>
                <w:rFonts w:ascii="Times New Roman" w:hAnsi="Times New Roman" w:eastAsia="宋体" w:cs="Times New Roman"/>
                <w:color w:val="000000"/>
                <w:kern w:val="0"/>
                <w:sz w:val="20"/>
                <w:szCs w:val="20"/>
              </w:rPr>
            </w:pPr>
            <w:r>
              <w:rPr>
                <w:rFonts w:hint="eastAsia" w:ascii="宋体" w:hAnsi="宋体" w:eastAsia="宋体" w:cs="Times New Roman"/>
                <w:color w:val="000000"/>
                <w:kern w:val="0"/>
                <w:sz w:val="20"/>
                <w:szCs w:val="20"/>
              </w:rPr>
              <w:t>②不超资产配置标准，计</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分，发现一例超过标准的，本项不得分；</w:t>
            </w:r>
          </w:p>
        </w:tc>
        <w:tc>
          <w:tcPr>
            <w:tcW w:w="722" w:type="dxa"/>
            <w:vMerge w:val="continue"/>
            <w:tcBorders>
              <w:top w:val="nil"/>
              <w:left w:val="single" w:color="auto" w:sz="8" w:space="0"/>
              <w:bottom w:val="single" w:color="000000" w:sz="8" w:space="0"/>
              <w:right w:val="single" w:color="auto" w:sz="8" w:space="0"/>
            </w:tcBorders>
            <w:vAlign w:val="center"/>
          </w:tcPr>
          <w:p w14:paraId="191968DE">
            <w:pPr>
              <w:widowControl/>
              <w:jc w:val="center"/>
              <w:rPr>
                <w:rFonts w:ascii="Times New Roman" w:hAnsi="Times New Roman" w:eastAsia="宋体" w:cs="Times New Roman"/>
                <w:color w:val="000000"/>
                <w:kern w:val="0"/>
                <w:sz w:val="24"/>
                <w:szCs w:val="24"/>
              </w:rPr>
            </w:pPr>
          </w:p>
        </w:tc>
      </w:tr>
      <w:tr w14:paraId="45F4E8CB">
        <w:tblPrEx>
          <w:tblCellMar>
            <w:top w:w="0" w:type="dxa"/>
            <w:left w:w="108" w:type="dxa"/>
            <w:bottom w:w="0" w:type="dxa"/>
            <w:right w:w="108" w:type="dxa"/>
          </w:tblCellMar>
        </w:tblPrEx>
        <w:trPr>
          <w:trHeight w:val="495" w:hRule="atLeast"/>
        </w:trPr>
        <w:tc>
          <w:tcPr>
            <w:tcW w:w="1415" w:type="dxa"/>
            <w:vMerge w:val="continue"/>
            <w:tcBorders>
              <w:left w:val="single" w:color="auto" w:sz="8" w:space="0"/>
              <w:right w:val="single" w:color="auto" w:sz="8" w:space="0"/>
            </w:tcBorders>
            <w:shd w:val="clear" w:color="auto" w:fill="auto"/>
            <w:vAlign w:val="center"/>
          </w:tcPr>
          <w:p w14:paraId="3A574D0E">
            <w:pPr>
              <w:jc w:val="left"/>
              <w:rPr>
                <w:rFonts w:ascii="Tahoma" w:hAnsi="Tahoma" w:eastAsia="宋体" w:cs="Tahoma"/>
                <w:color w:val="000000"/>
                <w:kern w:val="0"/>
                <w:sz w:val="22"/>
              </w:rPr>
            </w:pPr>
          </w:p>
        </w:tc>
        <w:tc>
          <w:tcPr>
            <w:tcW w:w="985" w:type="dxa"/>
            <w:vMerge w:val="continue"/>
            <w:tcBorders>
              <w:top w:val="nil"/>
              <w:left w:val="single" w:color="auto" w:sz="8" w:space="0"/>
              <w:bottom w:val="single" w:color="000000" w:sz="8" w:space="0"/>
              <w:right w:val="single" w:color="auto" w:sz="8" w:space="0"/>
            </w:tcBorders>
            <w:vAlign w:val="center"/>
          </w:tcPr>
          <w:p w14:paraId="22233EF0">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05E1F3DE">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1A6E5F4A">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3D7DB4BC">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安全性</w:t>
            </w:r>
          </w:p>
        </w:tc>
        <w:tc>
          <w:tcPr>
            <w:tcW w:w="846" w:type="dxa"/>
            <w:vMerge w:val="continue"/>
            <w:tcBorders>
              <w:top w:val="nil"/>
              <w:left w:val="single" w:color="auto" w:sz="8" w:space="0"/>
              <w:bottom w:val="single" w:color="000000" w:sz="8" w:space="0"/>
              <w:right w:val="single" w:color="auto" w:sz="8" w:space="0"/>
            </w:tcBorders>
            <w:vAlign w:val="center"/>
          </w:tcPr>
          <w:p w14:paraId="143F970A">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67BA5CB4">
            <w:pPr>
              <w:widowControl/>
              <w:rPr>
                <w:rFonts w:ascii="Times New Roman" w:hAnsi="Times New Roman" w:eastAsia="宋体" w:cs="Times New Roman"/>
                <w:color w:val="000000"/>
                <w:kern w:val="0"/>
                <w:sz w:val="20"/>
                <w:szCs w:val="20"/>
              </w:rPr>
            </w:pPr>
            <w:r>
              <w:rPr>
                <w:rFonts w:hint="eastAsia" w:ascii="宋体" w:hAnsi="宋体" w:eastAsia="宋体" w:cs="Times New Roman"/>
                <w:color w:val="000000"/>
                <w:kern w:val="0"/>
                <w:sz w:val="20"/>
                <w:szCs w:val="20"/>
              </w:rPr>
              <w:t>③资产处置规范，计</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分，发现一例不符，扣</w:t>
            </w:r>
            <w:r>
              <w:rPr>
                <w:rFonts w:ascii="Times New Roman" w:hAnsi="Times New Roman" w:eastAsia="宋体" w:cs="Times New Roman"/>
                <w:color w:val="000000"/>
                <w:kern w:val="0"/>
                <w:sz w:val="20"/>
                <w:szCs w:val="20"/>
              </w:rPr>
              <w:t>0.5</w:t>
            </w:r>
            <w:r>
              <w:rPr>
                <w:rFonts w:hint="eastAsia" w:ascii="宋体" w:hAnsi="宋体" w:eastAsia="宋体" w:cs="Times New Roman"/>
                <w:color w:val="000000"/>
                <w:kern w:val="0"/>
                <w:sz w:val="20"/>
                <w:szCs w:val="20"/>
              </w:rPr>
              <w:t>分，扣完为止；</w:t>
            </w:r>
          </w:p>
        </w:tc>
        <w:tc>
          <w:tcPr>
            <w:tcW w:w="722" w:type="dxa"/>
            <w:vMerge w:val="continue"/>
            <w:tcBorders>
              <w:top w:val="nil"/>
              <w:left w:val="single" w:color="auto" w:sz="8" w:space="0"/>
              <w:bottom w:val="single" w:color="000000" w:sz="8" w:space="0"/>
              <w:right w:val="single" w:color="auto" w:sz="8" w:space="0"/>
            </w:tcBorders>
            <w:vAlign w:val="center"/>
          </w:tcPr>
          <w:p w14:paraId="3C64E03B">
            <w:pPr>
              <w:widowControl/>
              <w:jc w:val="center"/>
              <w:rPr>
                <w:rFonts w:ascii="Times New Roman" w:hAnsi="Times New Roman" w:eastAsia="宋体" w:cs="Times New Roman"/>
                <w:color w:val="000000"/>
                <w:kern w:val="0"/>
                <w:sz w:val="24"/>
                <w:szCs w:val="24"/>
              </w:rPr>
            </w:pPr>
          </w:p>
        </w:tc>
      </w:tr>
      <w:tr w14:paraId="76D0A03A">
        <w:tblPrEx>
          <w:tblCellMar>
            <w:top w:w="0" w:type="dxa"/>
            <w:left w:w="108" w:type="dxa"/>
            <w:bottom w:w="0" w:type="dxa"/>
            <w:right w:w="108" w:type="dxa"/>
          </w:tblCellMar>
        </w:tblPrEx>
        <w:trPr>
          <w:trHeight w:val="495" w:hRule="atLeast"/>
        </w:trPr>
        <w:tc>
          <w:tcPr>
            <w:tcW w:w="1415" w:type="dxa"/>
            <w:vMerge w:val="continue"/>
            <w:tcBorders>
              <w:left w:val="single" w:color="auto" w:sz="8" w:space="0"/>
              <w:right w:val="single" w:color="auto" w:sz="8" w:space="0"/>
            </w:tcBorders>
            <w:shd w:val="clear" w:color="auto" w:fill="auto"/>
            <w:vAlign w:val="center"/>
          </w:tcPr>
          <w:p w14:paraId="2B4070D7">
            <w:pPr>
              <w:jc w:val="left"/>
              <w:rPr>
                <w:rFonts w:ascii="Tahoma" w:hAnsi="Tahoma" w:eastAsia="宋体" w:cs="Tahoma"/>
                <w:color w:val="000000"/>
                <w:kern w:val="0"/>
                <w:sz w:val="22"/>
              </w:rPr>
            </w:pPr>
          </w:p>
        </w:tc>
        <w:tc>
          <w:tcPr>
            <w:tcW w:w="985" w:type="dxa"/>
            <w:vMerge w:val="continue"/>
            <w:tcBorders>
              <w:top w:val="nil"/>
              <w:left w:val="single" w:color="auto" w:sz="8" w:space="0"/>
              <w:bottom w:val="single" w:color="000000" w:sz="8" w:space="0"/>
              <w:right w:val="single" w:color="auto" w:sz="8" w:space="0"/>
            </w:tcBorders>
            <w:vAlign w:val="center"/>
          </w:tcPr>
          <w:p w14:paraId="7CCEB75E">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47DECC46">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12304ED3">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4AD28C99">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26115075">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06F24B59">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④</w:t>
            </w:r>
            <w:r>
              <w:rPr>
                <w:rFonts w:hint="eastAsia" w:ascii="宋体" w:hAnsi="宋体" w:eastAsia="宋体" w:cs="Times New Roman"/>
                <w:color w:val="000000"/>
                <w:kern w:val="0"/>
                <w:sz w:val="20"/>
                <w:szCs w:val="20"/>
              </w:rPr>
              <w:t>资产购置履行政府采购手续，手续完整，计</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分，发现一例不符，扣</w:t>
            </w:r>
            <w:r>
              <w:rPr>
                <w:rFonts w:ascii="Times New Roman" w:hAnsi="Times New Roman" w:eastAsia="宋体" w:cs="Times New Roman"/>
                <w:color w:val="000000"/>
                <w:kern w:val="0"/>
                <w:sz w:val="20"/>
                <w:szCs w:val="20"/>
              </w:rPr>
              <w:t>0.5</w:t>
            </w:r>
            <w:r>
              <w:rPr>
                <w:rFonts w:hint="eastAsia" w:ascii="宋体" w:hAnsi="宋体" w:eastAsia="宋体" w:cs="Times New Roman"/>
                <w:color w:val="000000"/>
                <w:kern w:val="0"/>
                <w:sz w:val="20"/>
                <w:szCs w:val="20"/>
              </w:rPr>
              <w:t>分，扣完为止；</w:t>
            </w:r>
          </w:p>
        </w:tc>
        <w:tc>
          <w:tcPr>
            <w:tcW w:w="722" w:type="dxa"/>
            <w:vMerge w:val="continue"/>
            <w:tcBorders>
              <w:top w:val="nil"/>
              <w:left w:val="single" w:color="auto" w:sz="8" w:space="0"/>
              <w:bottom w:val="single" w:color="000000" w:sz="8" w:space="0"/>
              <w:right w:val="single" w:color="auto" w:sz="8" w:space="0"/>
            </w:tcBorders>
            <w:vAlign w:val="center"/>
          </w:tcPr>
          <w:p w14:paraId="13BAAA51">
            <w:pPr>
              <w:widowControl/>
              <w:jc w:val="center"/>
              <w:rPr>
                <w:rFonts w:ascii="Times New Roman" w:hAnsi="Times New Roman" w:eastAsia="宋体" w:cs="Times New Roman"/>
                <w:color w:val="000000"/>
                <w:kern w:val="0"/>
                <w:sz w:val="24"/>
                <w:szCs w:val="24"/>
              </w:rPr>
            </w:pPr>
          </w:p>
        </w:tc>
      </w:tr>
      <w:tr w14:paraId="2DD2FCC0">
        <w:tblPrEx>
          <w:tblCellMar>
            <w:top w:w="0" w:type="dxa"/>
            <w:left w:w="108" w:type="dxa"/>
            <w:bottom w:w="0" w:type="dxa"/>
            <w:right w:w="108" w:type="dxa"/>
          </w:tblCellMar>
        </w:tblPrEx>
        <w:trPr>
          <w:trHeight w:val="495" w:hRule="atLeast"/>
        </w:trPr>
        <w:tc>
          <w:tcPr>
            <w:tcW w:w="1415" w:type="dxa"/>
            <w:vMerge w:val="continue"/>
            <w:tcBorders>
              <w:left w:val="single" w:color="auto" w:sz="8" w:space="0"/>
              <w:right w:val="single" w:color="auto" w:sz="8" w:space="0"/>
            </w:tcBorders>
            <w:shd w:val="clear" w:color="auto" w:fill="auto"/>
            <w:vAlign w:val="center"/>
          </w:tcPr>
          <w:p w14:paraId="37AB4CE7">
            <w:pPr>
              <w:jc w:val="left"/>
              <w:rPr>
                <w:rFonts w:ascii="Tahoma" w:hAnsi="Tahoma" w:eastAsia="宋体" w:cs="Tahoma"/>
                <w:color w:val="000000"/>
                <w:kern w:val="0"/>
                <w:sz w:val="22"/>
              </w:rPr>
            </w:pPr>
          </w:p>
        </w:tc>
        <w:tc>
          <w:tcPr>
            <w:tcW w:w="985" w:type="dxa"/>
            <w:vMerge w:val="continue"/>
            <w:tcBorders>
              <w:top w:val="nil"/>
              <w:left w:val="single" w:color="auto" w:sz="8" w:space="0"/>
              <w:bottom w:val="single" w:color="000000" w:sz="8" w:space="0"/>
              <w:right w:val="single" w:color="auto" w:sz="8" w:space="0"/>
            </w:tcBorders>
            <w:vAlign w:val="center"/>
          </w:tcPr>
          <w:p w14:paraId="36F2C468">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0D1FC804">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4474EC59">
            <w:pPr>
              <w:widowControl/>
              <w:jc w:val="left"/>
              <w:rPr>
                <w:rFonts w:ascii="Times New Roman" w:hAnsi="Times New Roman" w:eastAsia="宋体" w:cs="Times New Roman"/>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0008F2D1">
            <w:pPr>
              <w:widowControl/>
              <w:jc w:val="left"/>
              <w:rPr>
                <w:rFonts w:ascii="Tahoma" w:hAnsi="Tahoma" w:eastAsia="宋体" w:cs="Tahoma"/>
                <w:color w:val="000000"/>
                <w:kern w:val="0"/>
                <w:sz w:val="22"/>
              </w:rPr>
            </w:pPr>
            <w:r>
              <w:rPr>
                <w:rFonts w:ascii="Tahoma" w:hAnsi="Tahoma" w:eastAsia="宋体" w:cs="Tahoma"/>
                <w:color w:val="000000"/>
                <w:kern w:val="0"/>
                <w:sz w:val="22"/>
              </w:rPr>
              <w:t>　</w:t>
            </w:r>
          </w:p>
        </w:tc>
        <w:tc>
          <w:tcPr>
            <w:tcW w:w="846" w:type="dxa"/>
            <w:vMerge w:val="continue"/>
            <w:tcBorders>
              <w:top w:val="nil"/>
              <w:left w:val="single" w:color="auto" w:sz="8" w:space="0"/>
              <w:bottom w:val="single" w:color="000000" w:sz="8" w:space="0"/>
              <w:right w:val="single" w:color="auto" w:sz="8" w:space="0"/>
            </w:tcBorders>
            <w:vAlign w:val="center"/>
          </w:tcPr>
          <w:p w14:paraId="474F49D8">
            <w:pPr>
              <w:widowControl/>
              <w:jc w:val="left"/>
              <w:rPr>
                <w:rFonts w:ascii="Times New Roman" w:hAnsi="Times New Roman" w:eastAsia="宋体" w:cs="Times New Roman"/>
                <w:color w:val="000000"/>
                <w:kern w:val="0"/>
                <w:sz w:val="20"/>
                <w:szCs w:val="20"/>
              </w:rPr>
            </w:pPr>
          </w:p>
        </w:tc>
        <w:tc>
          <w:tcPr>
            <w:tcW w:w="6287" w:type="dxa"/>
            <w:tcBorders>
              <w:top w:val="nil"/>
              <w:left w:val="nil"/>
              <w:bottom w:val="single" w:color="auto" w:sz="8" w:space="0"/>
              <w:right w:val="single" w:color="auto" w:sz="8" w:space="0"/>
            </w:tcBorders>
            <w:shd w:val="clear" w:color="auto" w:fill="auto"/>
            <w:vAlign w:val="center"/>
          </w:tcPr>
          <w:p w14:paraId="4E79175F">
            <w:pPr>
              <w:widowControl/>
              <w:rPr>
                <w:rFonts w:ascii="Times New Roman" w:hAnsi="Times New Roman" w:eastAsia="宋体" w:cs="Times New Roman"/>
                <w:color w:val="000000"/>
                <w:kern w:val="0"/>
                <w:sz w:val="20"/>
                <w:szCs w:val="20"/>
              </w:rPr>
            </w:pPr>
            <w:r>
              <w:rPr>
                <w:rFonts w:ascii="宋体" w:hAnsi="宋体" w:eastAsia="宋体" w:cs="宋体"/>
                <w:color w:val="000000"/>
                <w:kern w:val="0"/>
                <w:sz w:val="20"/>
                <w:szCs w:val="20"/>
              </w:rPr>
              <w:t>⑤</w:t>
            </w:r>
            <w:r>
              <w:rPr>
                <w:rFonts w:hint="eastAsia" w:ascii="宋体" w:hAnsi="宋体" w:eastAsia="宋体" w:cs="Times New Roman"/>
                <w:color w:val="000000"/>
                <w:kern w:val="0"/>
                <w:sz w:val="20"/>
                <w:szCs w:val="20"/>
              </w:rPr>
              <w:t>资产审批手续规范、齐全，计</w:t>
            </w:r>
            <w:r>
              <w:rPr>
                <w:rFonts w:ascii="Times New Roman" w:hAnsi="Times New Roman" w:eastAsia="宋体" w:cs="Times New Roman"/>
                <w:color w:val="000000"/>
                <w:kern w:val="0"/>
                <w:sz w:val="20"/>
                <w:szCs w:val="20"/>
              </w:rPr>
              <w:t>1</w:t>
            </w:r>
            <w:r>
              <w:rPr>
                <w:rFonts w:hint="eastAsia" w:ascii="宋体" w:hAnsi="宋体" w:eastAsia="宋体" w:cs="Times New Roman"/>
                <w:color w:val="000000"/>
                <w:kern w:val="0"/>
                <w:sz w:val="20"/>
                <w:szCs w:val="20"/>
              </w:rPr>
              <w:t>分，发现一例不符，扣</w:t>
            </w:r>
            <w:r>
              <w:rPr>
                <w:rFonts w:ascii="Times New Roman" w:hAnsi="Times New Roman" w:eastAsia="宋体" w:cs="Times New Roman"/>
                <w:color w:val="000000"/>
                <w:kern w:val="0"/>
                <w:sz w:val="20"/>
                <w:szCs w:val="20"/>
              </w:rPr>
              <w:t>0.5</w:t>
            </w:r>
            <w:r>
              <w:rPr>
                <w:rFonts w:hint="eastAsia" w:ascii="宋体" w:hAnsi="宋体" w:eastAsia="宋体" w:cs="Times New Roman"/>
                <w:color w:val="000000"/>
                <w:kern w:val="0"/>
                <w:sz w:val="20"/>
                <w:szCs w:val="20"/>
              </w:rPr>
              <w:t>分，扣完为止。</w:t>
            </w:r>
          </w:p>
        </w:tc>
        <w:tc>
          <w:tcPr>
            <w:tcW w:w="722" w:type="dxa"/>
            <w:vMerge w:val="continue"/>
            <w:tcBorders>
              <w:top w:val="nil"/>
              <w:left w:val="single" w:color="auto" w:sz="8" w:space="0"/>
              <w:bottom w:val="single" w:color="000000" w:sz="8" w:space="0"/>
              <w:right w:val="single" w:color="auto" w:sz="8" w:space="0"/>
            </w:tcBorders>
            <w:vAlign w:val="center"/>
          </w:tcPr>
          <w:p w14:paraId="49A065AF">
            <w:pPr>
              <w:widowControl/>
              <w:jc w:val="center"/>
              <w:rPr>
                <w:rFonts w:ascii="Times New Roman" w:hAnsi="Times New Roman" w:eastAsia="宋体" w:cs="Times New Roman"/>
                <w:color w:val="000000"/>
                <w:kern w:val="0"/>
                <w:sz w:val="24"/>
                <w:szCs w:val="24"/>
              </w:rPr>
            </w:pPr>
          </w:p>
        </w:tc>
      </w:tr>
      <w:tr w14:paraId="0AA0CE0A">
        <w:tblPrEx>
          <w:tblCellMar>
            <w:top w:w="0" w:type="dxa"/>
            <w:left w:w="108" w:type="dxa"/>
            <w:bottom w:w="0" w:type="dxa"/>
            <w:right w:w="108" w:type="dxa"/>
          </w:tblCellMar>
        </w:tblPrEx>
        <w:trPr>
          <w:trHeight w:val="270" w:hRule="atLeast"/>
        </w:trPr>
        <w:tc>
          <w:tcPr>
            <w:tcW w:w="1415" w:type="dxa"/>
            <w:vMerge w:val="continue"/>
            <w:tcBorders>
              <w:left w:val="single" w:color="auto" w:sz="8" w:space="0"/>
              <w:right w:val="single" w:color="auto" w:sz="8" w:space="0"/>
            </w:tcBorders>
            <w:shd w:val="clear" w:color="auto" w:fill="auto"/>
            <w:vAlign w:val="center"/>
          </w:tcPr>
          <w:p w14:paraId="4B58F66D">
            <w:pPr>
              <w:jc w:val="left"/>
              <w:rPr>
                <w:rFonts w:ascii="Tahoma" w:hAnsi="Tahoma" w:eastAsia="宋体" w:cs="Tahoma"/>
                <w:color w:val="000000"/>
                <w:kern w:val="0"/>
                <w:sz w:val="22"/>
              </w:rPr>
            </w:pPr>
          </w:p>
        </w:tc>
        <w:tc>
          <w:tcPr>
            <w:tcW w:w="985" w:type="dxa"/>
            <w:vMerge w:val="continue"/>
            <w:tcBorders>
              <w:top w:val="nil"/>
              <w:left w:val="single" w:color="auto" w:sz="8" w:space="0"/>
              <w:bottom w:val="single" w:color="000000" w:sz="8" w:space="0"/>
              <w:right w:val="single" w:color="auto" w:sz="8" w:space="0"/>
            </w:tcBorders>
            <w:vAlign w:val="center"/>
          </w:tcPr>
          <w:p w14:paraId="36F674A4">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5EC03891">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4499D02B">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3E7BB9B3">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固定</w:t>
            </w:r>
          </w:p>
        </w:tc>
        <w:tc>
          <w:tcPr>
            <w:tcW w:w="846" w:type="dxa"/>
            <w:vMerge w:val="restart"/>
            <w:tcBorders>
              <w:top w:val="nil"/>
              <w:left w:val="single" w:color="auto" w:sz="8" w:space="0"/>
              <w:bottom w:val="single" w:color="000000" w:sz="8" w:space="0"/>
              <w:right w:val="single" w:color="auto" w:sz="8" w:space="0"/>
            </w:tcBorders>
            <w:shd w:val="clear" w:color="auto" w:fill="auto"/>
            <w:vAlign w:val="center"/>
          </w:tcPr>
          <w:p w14:paraId="177CCE0D">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w:t>
            </w:r>
          </w:p>
        </w:tc>
        <w:tc>
          <w:tcPr>
            <w:tcW w:w="6287" w:type="dxa"/>
            <w:vMerge w:val="restart"/>
            <w:tcBorders>
              <w:top w:val="nil"/>
              <w:left w:val="single" w:color="auto" w:sz="8" w:space="0"/>
              <w:bottom w:val="single" w:color="000000" w:sz="8" w:space="0"/>
              <w:right w:val="single" w:color="auto" w:sz="8" w:space="0"/>
            </w:tcBorders>
            <w:shd w:val="clear" w:color="auto" w:fill="auto"/>
            <w:vAlign w:val="center"/>
          </w:tcPr>
          <w:p w14:paraId="6F91BA42">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固定资产利用率</w:t>
            </w:r>
            <w:r>
              <w:rPr>
                <w:rFonts w:ascii="Times New Roman" w:hAnsi="Times New Roman" w:eastAsia="宋体" w:cs="Times New Roman"/>
                <w:color w:val="000000"/>
                <w:kern w:val="0"/>
                <w:sz w:val="20"/>
                <w:szCs w:val="20"/>
              </w:rPr>
              <w:t>100%</w:t>
            </w:r>
            <w:r>
              <w:rPr>
                <w:rFonts w:hint="eastAsia" w:ascii="宋体" w:hAnsi="宋体" w:eastAsia="宋体" w:cs="Tahoma"/>
                <w:color w:val="000000"/>
                <w:kern w:val="0"/>
                <w:sz w:val="20"/>
                <w:szCs w:val="20"/>
              </w:rPr>
              <w:t>计</w:t>
            </w:r>
            <w:r>
              <w:rPr>
                <w:rFonts w:ascii="Times New Roman" w:hAnsi="Times New Roman" w:eastAsia="宋体" w:cs="Times New Roman"/>
                <w:color w:val="000000"/>
                <w:kern w:val="0"/>
                <w:sz w:val="20"/>
                <w:szCs w:val="20"/>
              </w:rPr>
              <w:t>1</w:t>
            </w:r>
            <w:r>
              <w:rPr>
                <w:rFonts w:hint="eastAsia" w:ascii="宋体" w:hAnsi="宋体" w:eastAsia="宋体" w:cs="Tahoma"/>
                <w:color w:val="000000"/>
                <w:kern w:val="0"/>
                <w:sz w:val="20"/>
                <w:szCs w:val="20"/>
              </w:rPr>
              <w:t>分，每下降</w:t>
            </w:r>
            <w:r>
              <w:rPr>
                <w:rFonts w:ascii="Times New Roman" w:hAnsi="Times New Roman" w:eastAsia="宋体" w:cs="Times New Roman"/>
                <w:color w:val="000000"/>
                <w:kern w:val="0"/>
                <w:sz w:val="20"/>
                <w:szCs w:val="20"/>
              </w:rPr>
              <w:t>1%</w:t>
            </w:r>
            <w:r>
              <w:rPr>
                <w:rFonts w:hint="eastAsia" w:ascii="宋体" w:hAnsi="宋体" w:eastAsia="宋体" w:cs="Tahoma"/>
                <w:color w:val="000000"/>
                <w:kern w:val="0"/>
                <w:sz w:val="20"/>
                <w:szCs w:val="20"/>
              </w:rPr>
              <w:t>扣</w:t>
            </w:r>
            <w:r>
              <w:rPr>
                <w:rFonts w:ascii="Times New Roman" w:hAnsi="Times New Roman" w:eastAsia="宋体" w:cs="Times New Roman"/>
                <w:color w:val="000000"/>
                <w:kern w:val="0"/>
                <w:sz w:val="20"/>
                <w:szCs w:val="20"/>
              </w:rPr>
              <w:t>0.2</w:t>
            </w:r>
            <w:r>
              <w:rPr>
                <w:rFonts w:hint="eastAsia" w:ascii="宋体" w:hAnsi="宋体" w:eastAsia="宋体" w:cs="Tahoma"/>
                <w:color w:val="000000"/>
                <w:kern w:val="0"/>
                <w:sz w:val="20"/>
                <w:szCs w:val="20"/>
              </w:rPr>
              <w:t>分，扣完为止。</w:t>
            </w:r>
          </w:p>
        </w:tc>
        <w:tc>
          <w:tcPr>
            <w:tcW w:w="722" w:type="dxa"/>
            <w:vMerge w:val="restart"/>
            <w:tcBorders>
              <w:top w:val="nil"/>
              <w:left w:val="single" w:color="auto" w:sz="8" w:space="0"/>
              <w:bottom w:val="single" w:color="000000" w:sz="8" w:space="0"/>
              <w:right w:val="single" w:color="auto" w:sz="8" w:space="0"/>
            </w:tcBorders>
            <w:shd w:val="clear" w:color="auto" w:fill="auto"/>
            <w:vAlign w:val="center"/>
          </w:tcPr>
          <w:p w14:paraId="2CC0A0D5">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w:t>
            </w:r>
          </w:p>
        </w:tc>
      </w:tr>
      <w:tr w14:paraId="6C4D4C6D">
        <w:tblPrEx>
          <w:tblCellMar>
            <w:top w:w="0" w:type="dxa"/>
            <w:left w:w="108" w:type="dxa"/>
            <w:bottom w:w="0" w:type="dxa"/>
            <w:right w:w="108" w:type="dxa"/>
          </w:tblCellMar>
        </w:tblPrEx>
        <w:trPr>
          <w:trHeight w:val="270" w:hRule="atLeast"/>
        </w:trPr>
        <w:tc>
          <w:tcPr>
            <w:tcW w:w="1415" w:type="dxa"/>
            <w:vMerge w:val="continue"/>
            <w:tcBorders>
              <w:left w:val="single" w:color="auto" w:sz="8" w:space="0"/>
              <w:right w:val="single" w:color="auto" w:sz="8" w:space="0"/>
            </w:tcBorders>
            <w:shd w:val="clear" w:color="auto" w:fill="auto"/>
            <w:vAlign w:val="center"/>
          </w:tcPr>
          <w:p w14:paraId="34AB4EBF">
            <w:pPr>
              <w:jc w:val="left"/>
              <w:rPr>
                <w:rFonts w:ascii="Tahoma" w:hAnsi="Tahoma" w:eastAsia="宋体" w:cs="Tahoma"/>
                <w:color w:val="000000"/>
                <w:kern w:val="0"/>
                <w:sz w:val="22"/>
              </w:rPr>
            </w:pPr>
          </w:p>
        </w:tc>
        <w:tc>
          <w:tcPr>
            <w:tcW w:w="985" w:type="dxa"/>
            <w:vMerge w:val="continue"/>
            <w:tcBorders>
              <w:top w:val="nil"/>
              <w:left w:val="single" w:color="auto" w:sz="8" w:space="0"/>
              <w:bottom w:val="single" w:color="000000" w:sz="8" w:space="0"/>
              <w:right w:val="single" w:color="auto" w:sz="8" w:space="0"/>
            </w:tcBorders>
            <w:vAlign w:val="center"/>
          </w:tcPr>
          <w:p w14:paraId="0A78A73D">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411E8556">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5C7AA93E">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2D10C4BD">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资产</w:t>
            </w:r>
          </w:p>
        </w:tc>
        <w:tc>
          <w:tcPr>
            <w:tcW w:w="846" w:type="dxa"/>
            <w:vMerge w:val="continue"/>
            <w:tcBorders>
              <w:top w:val="nil"/>
              <w:left w:val="single" w:color="auto" w:sz="8" w:space="0"/>
              <w:bottom w:val="single" w:color="000000" w:sz="8" w:space="0"/>
              <w:right w:val="single" w:color="auto" w:sz="8" w:space="0"/>
            </w:tcBorders>
            <w:vAlign w:val="center"/>
          </w:tcPr>
          <w:p w14:paraId="5E94CB08">
            <w:pPr>
              <w:widowControl/>
              <w:jc w:val="left"/>
              <w:rPr>
                <w:rFonts w:ascii="Times New Roman" w:hAnsi="Times New Roman" w:eastAsia="宋体" w:cs="Times New Roman"/>
                <w:color w:val="000000"/>
                <w:kern w:val="0"/>
                <w:sz w:val="20"/>
                <w:szCs w:val="20"/>
              </w:rPr>
            </w:pPr>
          </w:p>
        </w:tc>
        <w:tc>
          <w:tcPr>
            <w:tcW w:w="6287" w:type="dxa"/>
            <w:vMerge w:val="continue"/>
            <w:tcBorders>
              <w:top w:val="nil"/>
              <w:left w:val="single" w:color="auto" w:sz="8" w:space="0"/>
              <w:bottom w:val="single" w:color="000000" w:sz="8" w:space="0"/>
              <w:right w:val="single" w:color="auto" w:sz="8" w:space="0"/>
            </w:tcBorders>
            <w:vAlign w:val="center"/>
          </w:tcPr>
          <w:p w14:paraId="469ED65E">
            <w:pPr>
              <w:widowControl/>
              <w:jc w:val="left"/>
              <w:rPr>
                <w:rFonts w:ascii="宋体" w:hAnsi="宋体" w:eastAsia="宋体" w:cs="Tahoma"/>
                <w:color w:val="000000"/>
                <w:kern w:val="0"/>
                <w:sz w:val="20"/>
                <w:szCs w:val="20"/>
              </w:rPr>
            </w:pPr>
          </w:p>
        </w:tc>
        <w:tc>
          <w:tcPr>
            <w:tcW w:w="722" w:type="dxa"/>
            <w:vMerge w:val="continue"/>
            <w:tcBorders>
              <w:top w:val="nil"/>
              <w:left w:val="single" w:color="auto" w:sz="8" w:space="0"/>
              <w:bottom w:val="single" w:color="000000" w:sz="8" w:space="0"/>
              <w:right w:val="single" w:color="auto" w:sz="8" w:space="0"/>
            </w:tcBorders>
            <w:vAlign w:val="center"/>
          </w:tcPr>
          <w:p w14:paraId="51CB6C97">
            <w:pPr>
              <w:widowControl/>
              <w:jc w:val="center"/>
              <w:rPr>
                <w:rFonts w:ascii="Times New Roman" w:hAnsi="Times New Roman" w:eastAsia="宋体" w:cs="Times New Roman"/>
                <w:color w:val="000000"/>
                <w:kern w:val="0"/>
                <w:sz w:val="24"/>
                <w:szCs w:val="24"/>
              </w:rPr>
            </w:pPr>
          </w:p>
        </w:tc>
      </w:tr>
      <w:tr w14:paraId="40639B8D">
        <w:tblPrEx>
          <w:tblCellMar>
            <w:top w:w="0" w:type="dxa"/>
            <w:left w:w="108" w:type="dxa"/>
            <w:bottom w:w="0" w:type="dxa"/>
            <w:right w:w="108" w:type="dxa"/>
          </w:tblCellMar>
        </w:tblPrEx>
        <w:trPr>
          <w:trHeight w:val="270" w:hRule="atLeast"/>
        </w:trPr>
        <w:tc>
          <w:tcPr>
            <w:tcW w:w="1415" w:type="dxa"/>
            <w:vMerge w:val="continue"/>
            <w:tcBorders>
              <w:left w:val="single" w:color="auto" w:sz="8" w:space="0"/>
              <w:bottom w:val="single" w:color="auto" w:sz="8" w:space="0"/>
              <w:right w:val="single" w:color="auto" w:sz="8" w:space="0"/>
            </w:tcBorders>
            <w:shd w:val="clear" w:color="auto" w:fill="auto"/>
            <w:vAlign w:val="center"/>
          </w:tcPr>
          <w:p w14:paraId="3BC3D26D">
            <w:pPr>
              <w:widowControl/>
              <w:jc w:val="left"/>
              <w:rPr>
                <w:rFonts w:ascii="Tahoma" w:hAnsi="Tahoma" w:eastAsia="宋体" w:cs="Tahoma"/>
                <w:color w:val="000000"/>
                <w:kern w:val="0"/>
                <w:sz w:val="22"/>
              </w:rPr>
            </w:pPr>
          </w:p>
        </w:tc>
        <w:tc>
          <w:tcPr>
            <w:tcW w:w="985" w:type="dxa"/>
            <w:vMerge w:val="continue"/>
            <w:tcBorders>
              <w:top w:val="nil"/>
              <w:left w:val="single" w:color="auto" w:sz="8" w:space="0"/>
              <w:bottom w:val="single" w:color="000000" w:sz="8" w:space="0"/>
              <w:right w:val="single" w:color="auto" w:sz="8" w:space="0"/>
            </w:tcBorders>
            <w:vAlign w:val="center"/>
          </w:tcPr>
          <w:p w14:paraId="0C407BEB">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single" w:color="000000" w:sz="8" w:space="0"/>
              <w:right w:val="single" w:color="auto" w:sz="8" w:space="0"/>
            </w:tcBorders>
            <w:vAlign w:val="center"/>
          </w:tcPr>
          <w:p w14:paraId="5A75507B">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0A0284B3">
            <w:pPr>
              <w:widowControl/>
              <w:jc w:val="left"/>
              <w:rPr>
                <w:rFonts w:ascii="Times New Roman" w:hAnsi="Times New Roman" w:eastAsia="宋体" w:cs="Times New Roman"/>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0AD4E941">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利用率</w:t>
            </w:r>
          </w:p>
        </w:tc>
        <w:tc>
          <w:tcPr>
            <w:tcW w:w="846" w:type="dxa"/>
            <w:vMerge w:val="continue"/>
            <w:tcBorders>
              <w:top w:val="nil"/>
              <w:left w:val="single" w:color="auto" w:sz="8" w:space="0"/>
              <w:bottom w:val="single" w:color="000000" w:sz="8" w:space="0"/>
              <w:right w:val="single" w:color="auto" w:sz="8" w:space="0"/>
            </w:tcBorders>
            <w:vAlign w:val="center"/>
          </w:tcPr>
          <w:p w14:paraId="082876B9">
            <w:pPr>
              <w:widowControl/>
              <w:jc w:val="left"/>
              <w:rPr>
                <w:rFonts w:ascii="Times New Roman" w:hAnsi="Times New Roman" w:eastAsia="宋体" w:cs="Times New Roman"/>
                <w:color w:val="000000"/>
                <w:kern w:val="0"/>
                <w:sz w:val="20"/>
                <w:szCs w:val="20"/>
              </w:rPr>
            </w:pPr>
          </w:p>
        </w:tc>
        <w:tc>
          <w:tcPr>
            <w:tcW w:w="6287" w:type="dxa"/>
            <w:vMerge w:val="continue"/>
            <w:tcBorders>
              <w:top w:val="nil"/>
              <w:left w:val="single" w:color="auto" w:sz="8" w:space="0"/>
              <w:bottom w:val="single" w:color="000000" w:sz="8" w:space="0"/>
              <w:right w:val="single" w:color="auto" w:sz="8" w:space="0"/>
            </w:tcBorders>
            <w:vAlign w:val="center"/>
          </w:tcPr>
          <w:p w14:paraId="798528D6">
            <w:pPr>
              <w:widowControl/>
              <w:jc w:val="left"/>
              <w:rPr>
                <w:rFonts w:ascii="宋体" w:hAnsi="宋体" w:eastAsia="宋体" w:cs="Tahoma"/>
                <w:color w:val="000000"/>
                <w:kern w:val="0"/>
                <w:sz w:val="20"/>
                <w:szCs w:val="20"/>
              </w:rPr>
            </w:pPr>
          </w:p>
        </w:tc>
        <w:tc>
          <w:tcPr>
            <w:tcW w:w="722" w:type="dxa"/>
            <w:vMerge w:val="continue"/>
            <w:tcBorders>
              <w:top w:val="nil"/>
              <w:left w:val="single" w:color="auto" w:sz="8" w:space="0"/>
              <w:bottom w:val="single" w:color="000000" w:sz="8" w:space="0"/>
              <w:right w:val="single" w:color="auto" w:sz="8" w:space="0"/>
            </w:tcBorders>
            <w:vAlign w:val="center"/>
          </w:tcPr>
          <w:p w14:paraId="3A08819B">
            <w:pPr>
              <w:widowControl/>
              <w:jc w:val="center"/>
              <w:rPr>
                <w:rFonts w:ascii="Times New Roman" w:hAnsi="Times New Roman" w:eastAsia="宋体" w:cs="Times New Roman"/>
                <w:color w:val="000000"/>
                <w:kern w:val="0"/>
                <w:sz w:val="24"/>
                <w:szCs w:val="24"/>
              </w:rPr>
            </w:pPr>
          </w:p>
        </w:tc>
      </w:tr>
      <w:tr w14:paraId="29F935AF">
        <w:tblPrEx>
          <w:tblCellMar>
            <w:top w:w="0" w:type="dxa"/>
            <w:left w:w="108" w:type="dxa"/>
            <w:bottom w:w="0" w:type="dxa"/>
            <w:right w:w="108" w:type="dxa"/>
          </w:tblCellMar>
        </w:tblPrEx>
        <w:trPr>
          <w:trHeight w:val="585" w:hRule="atLeast"/>
        </w:trPr>
        <w:tc>
          <w:tcPr>
            <w:tcW w:w="1415" w:type="dxa"/>
            <w:vMerge w:val="restart"/>
            <w:tcBorders>
              <w:top w:val="nil"/>
              <w:left w:val="single" w:color="auto" w:sz="8" w:space="0"/>
              <w:bottom w:val="single" w:color="000000" w:sz="8" w:space="0"/>
              <w:right w:val="single" w:color="auto" w:sz="8" w:space="0"/>
            </w:tcBorders>
            <w:shd w:val="clear" w:color="auto" w:fill="auto"/>
            <w:vAlign w:val="center"/>
          </w:tcPr>
          <w:p w14:paraId="39F84B92">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产出及效率</w:t>
            </w:r>
          </w:p>
        </w:tc>
        <w:tc>
          <w:tcPr>
            <w:tcW w:w="985" w:type="dxa"/>
            <w:vMerge w:val="restart"/>
            <w:tcBorders>
              <w:top w:val="nil"/>
              <w:left w:val="single" w:color="auto" w:sz="8" w:space="0"/>
              <w:bottom w:val="single" w:color="000000" w:sz="8" w:space="0"/>
              <w:right w:val="single" w:color="auto" w:sz="8" w:space="0"/>
            </w:tcBorders>
            <w:shd w:val="clear" w:color="auto" w:fill="auto"/>
            <w:vAlign w:val="center"/>
          </w:tcPr>
          <w:p w14:paraId="17C55B14">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26</w:t>
            </w:r>
          </w:p>
        </w:tc>
        <w:tc>
          <w:tcPr>
            <w:tcW w:w="1265" w:type="dxa"/>
            <w:vMerge w:val="restart"/>
            <w:tcBorders>
              <w:top w:val="nil"/>
              <w:left w:val="single" w:color="auto" w:sz="8" w:space="0"/>
              <w:bottom w:val="nil"/>
              <w:right w:val="single" w:color="auto" w:sz="8" w:space="0"/>
            </w:tcBorders>
            <w:shd w:val="clear" w:color="auto" w:fill="auto"/>
            <w:vAlign w:val="center"/>
          </w:tcPr>
          <w:p w14:paraId="30B3DC26">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履职产出</w:t>
            </w:r>
          </w:p>
        </w:tc>
        <w:tc>
          <w:tcPr>
            <w:tcW w:w="845" w:type="dxa"/>
            <w:vMerge w:val="restart"/>
            <w:tcBorders>
              <w:top w:val="nil"/>
              <w:left w:val="single" w:color="auto" w:sz="8" w:space="0"/>
              <w:bottom w:val="nil"/>
              <w:right w:val="single" w:color="auto" w:sz="8" w:space="0"/>
            </w:tcBorders>
            <w:shd w:val="clear" w:color="auto" w:fill="auto"/>
            <w:vAlign w:val="center"/>
          </w:tcPr>
          <w:p w14:paraId="0AEFFEFB">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8</w:t>
            </w:r>
          </w:p>
        </w:tc>
        <w:tc>
          <w:tcPr>
            <w:tcW w:w="1825" w:type="dxa"/>
            <w:tcBorders>
              <w:top w:val="nil"/>
              <w:left w:val="nil"/>
              <w:bottom w:val="nil"/>
              <w:right w:val="single" w:color="auto" w:sz="8" w:space="0"/>
            </w:tcBorders>
            <w:shd w:val="clear" w:color="auto" w:fill="auto"/>
            <w:vAlign w:val="center"/>
          </w:tcPr>
          <w:p w14:paraId="6FBB38C1">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　</w:t>
            </w:r>
          </w:p>
        </w:tc>
        <w:tc>
          <w:tcPr>
            <w:tcW w:w="846" w:type="dxa"/>
            <w:vMerge w:val="restart"/>
            <w:tcBorders>
              <w:top w:val="nil"/>
              <w:left w:val="single" w:color="auto" w:sz="8" w:space="0"/>
              <w:bottom w:val="nil"/>
              <w:right w:val="single" w:color="auto" w:sz="8" w:space="0"/>
            </w:tcBorders>
            <w:shd w:val="clear" w:color="auto" w:fill="auto"/>
            <w:vAlign w:val="center"/>
          </w:tcPr>
          <w:p w14:paraId="1D0A150C">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8</w:t>
            </w:r>
          </w:p>
        </w:tc>
        <w:tc>
          <w:tcPr>
            <w:tcW w:w="6287" w:type="dxa"/>
            <w:tcBorders>
              <w:top w:val="single" w:color="000000" w:sz="8" w:space="0"/>
              <w:left w:val="nil"/>
              <w:bottom w:val="nil"/>
              <w:right w:val="single" w:color="auto" w:sz="8" w:space="0"/>
            </w:tcBorders>
            <w:shd w:val="clear" w:color="auto" w:fill="auto"/>
            <w:vAlign w:val="center"/>
          </w:tcPr>
          <w:p w14:paraId="2752BE20">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①推动全市全面深化改革工作向更高层面、更深层次发展，不断提高全市改革的含金量、获得感、美誉度和影响力</w:t>
            </w:r>
          </w:p>
        </w:tc>
        <w:tc>
          <w:tcPr>
            <w:tcW w:w="722" w:type="dxa"/>
            <w:vMerge w:val="restart"/>
            <w:tcBorders>
              <w:top w:val="nil"/>
              <w:left w:val="single" w:color="auto" w:sz="8" w:space="0"/>
              <w:bottom w:val="nil"/>
              <w:right w:val="single" w:color="auto" w:sz="8" w:space="0"/>
            </w:tcBorders>
            <w:shd w:val="clear" w:color="auto" w:fill="auto"/>
            <w:vAlign w:val="center"/>
          </w:tcPr>
          <w:p w14:paraId="2714418C">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8</w:t>
            </w:r>
          </w:p>
        </w:tc>
      </w:tr>
      <w:tr w14:paraId="542853AE">
        <w:tblPrEx>
          <w:tblCellMar>
            <w:top w:w="0" w:type="dxa"/>
            <w:left w:w="108" w:type="dxa"/>
            <w:bottom w:w="0" w:type="dxa"/>
            <w:right w:w="108" w:type="dxa"/>
          </w:tblCellMar>
        </w:tblPrEx>
        <w:trPr>
          <w:trHeight w:val="675" w:hRule="atLeast"/>
        </w:trPr>
        <w:tc>
          <w:tcPr>
            <w:tcW w:w="1415" w:type="dxa"/>
            <w:vMerge w:val="continue"/>
            <w:tcBorders>
              <w:top w:val="nil"/>
              <w:left w:val="single" w:color="auto" w:sz="8" w:space="0"/>
              <w:bottom w:val="single" w:color="000000" w:sz="8" w:space="0"/>
              <w:right w:val="single" w:color="auto" w:sz="8" w:space="0"/>
            </w:tcBorders>
            <w:vAlign w:val="center"/>
          </w:tcPr>
          <w:p w14:paraId="2D83EE00">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21D20959">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nil"/>
              <w:right w:val="single" w:color="auto" w:sz="8" w:space="0"/>
            </w:tcBorders>
            <w:vAlign w:val="center"/>
          </w:tcPr>
          <w:p w14:paraId="0B691E55">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nil"/>
              <w:right w:val="single" w:color="auto" w:sz="8" w:space="0"/>
            </w:tcBorders>
            <w:vAlign w:val="center"/>
          </w:tcPr>
          <w:p w14:paraId="576C696D">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42ADD4FF">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　</w:t>
            </w:r>
          </w:p>
        </w:tc>
        <w:tc>
          <w:tcPr>
            <w:tcW w:w="846" w:type="dxa"/>
            <w:vMerge w:val="continue"/>
            <w:tcBorders>
              <w:top w:val="nil"/>
              <w:left w:val="single" w:color="auto" w:sz="8" w:space="0"/>
              <w:bottom w:val="nil"/>
              <w:right w:val="single" w:color="auto" w:sz="8" w:space="0"/>
            </w:tcBorders>
            <w:vAlign w:val="center"/>
          </w:tcPr>
          <w:p w14:paraId="7E25EEE6">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7724D9E2">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②办好市委党刊，搞好参谋服务。把全国城市党刊十佳这块金字，招牌擦得更亮</w:t>
            </w:r>
          </w:p>
        </w:tc>
        <w:tc>
          <w:tcPr>
            <w:tcW w:w="722" w:type="dxa"/>
            <w:vMerge w:val="continue"/>
            <w:tcBorders>
              <w:top w:val="nil"/>
              <w:left w:val="single" w:color="auto" w:sz="8" w:space="0"/>
              <w:bottom w:val="nil"/>
              <w:right w:val="single" w:color="auto" w:sz="8" w:space="0"/>
            </w:tcBorders>
            <w:vAlign w:val="center"/>
          </w:tcPr>
          <w:p w14:paraId="7D3898B1">
            <w:pPr>
              <w:widowControl/>
              <w:jc w:val="left"/>
              <w:rPr>
                <w:rFonts w:ascii="Times New Roman" w:hAnsi="Times New Roman" w:eastAsia="宋体" w:cs="Times New Roman"/>
                <w:color w:val="000000"/>
                <w:kern w:val="0"/>
                <w:sz w:val="24"/>
                <w:szCs w:val="24"/>
              </w:rPr>
            </w:pPr>
          </w:p>
        </w:tc>
      </w:tr>
      <w:tr w14:paraId="554BAC27">
        <w:tblPrEx>
          <w:tblCellMar>
            <w:top w:w="0" w:type="dxa"/>
            <w:left w:w="108" w:type="dxa"/>
            <w:bottom w:w="0" w:type="dxa"/>
            <w:right w:w="108" w:type="dxa"/>
          </w:tblCellMar>
        </w:tblPrEx>
        <w:trPr>
          <w:trHeight w:val="570" w:hRule="atLeast"/>
        </w:trPr>
        <w:tc>
          <w:tcPr>
            <w:tcW w:w="1415" w:type="dxa"/>
            <w:vMerge w:val="continue"/>
            <w:tcBorders>
              <w:top w:val="nil"/>
              <w:left w:val="single" w:color="auto" w:sz="8" w:space="0"/>
              <w:bottom w:val="single" w:color="000000" w:sz="8" w:space="0"/>
              <w:right w:val="single" w:color="auto" w:sz="8" w:space="0"/>
            </w:tcBorders>
            <w:vAlign w:val="center"/>
          </w:tcPr>
          <w:p w14:paraId="174A559F">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0F0F1296">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nil"/>
              <w:right w:val="single" w:color="auto" w:sz="8" w:space="0"/>
            </w:tcBorders>
            <w:vAlign w:val="center"/>
          </w:tcPr>
          <w:p w14:paraId="5038680F">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nil"/>
              <w:right w:val="single" w:color="auto" w:sz="8" w:space="0"/>
            </w:tcBorders>
            <w:vAlign w:val="center"/>
          </w:tcPr>
          <w:p w14:paraId="5F7AC89F">
            <w:pPr>
              <w:widowControl/>
              <w:jc w:val="left"/>
              <w:rPr>
                <w:rFonts w:ascii="Times New Roman" w:hAnsi="Times New Roman" w:eastAsia="宋体" w:cs="Times New Roman"/>
                <w:color w:val="000000"/>
                <w:kern w:val="0"/>
                <w:sz w:val="20"/>
                <w:szCs w:val="20"/>
              </w:rPr>
            </w:pPr>
          </w:p>
        </w:tc>
        <w:tc>
          <w:tcPr>
            <w:tcW w:w="1825" w:type="dxa"/>
            <w:tcBorders>
              <w:top w:val="nil"/>
              <w:left w:val="nil"/>
              <w:bottom w:val="nil"/>
              <w:right w:val="single" w:color="auto" w:sz="8" w:space="0"/>
            </w:tcBorders>
            <w:shd w:val="clear" w:color="auto" w:fill="auto"/>
            <w:vAlign w:val="center"/>
          </w:tcPr>
          <w:p w14:paraId="3D10B48E">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产出</w:t>
            </w:r>
          </w:p>
        </w:tc>
        <w:tc>
          <w:tcPr>
            <w:tcW w:w="846" w:type="dxa"/>
            <w:vMerge w:val="continue"/>
            <w:tcBorders>
              <w:top w:val="nil"/>
              <w:left w:val="single" w:color="auto" w:sz="8" w:space="0"/>
              <w:bottom w:val="nil"/>
              <w:right w:val="single" w:color="auto" w:sz="8" w:space="0"/>
            </w:tcBorders>
            <w:vAlign w:val="center"/>
          </w:tcPr>
          <w:p w14:paraId="0A221060">
            <w:pPr>
              <w:widowControl/>
              <w:jc w:val="left"/>
              <w:rPr>
                <w:rFonts w:ascii="Times New Roman" w:hAnsi="Times New Roman" w:eastAsia="宋体" w:cs="Times New Roman"/>
                <w:color w:val="000000"/>
                <w:kern w:val="0"/>
                <w:sz w:val="20"/>
                <w:szCs w:val="20"/>
              </w:rPr>
            </w:pPr>
          </w:p>
        </w:tc>
        <w:tc>
          <w:tcPr>
            <w:tcW w:w="6287" w:type="dxa"/>
            <w:tcBorders>
              <w:left w:val="nil"/>
              <w:bottom w:val="nil"/>
              <w:right w:val="single" w:color="auto" w:sz="8" w:space="0"/>
            </w:tcBorders>
            <w:shd w:val="clear" w:color="auto" w:fill="auto"/>
            <w:vAlign w:val="center"/>
          </w:tcPr>
          <w:p w14:paraId="5CB8F2F0">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③按质按量完成调查研究</w:t>
            </w:r>
            <w:r>
              <w:rPr>
                <w:rFonts w:ascii="Times New Roman" w:hAnsi="Times New Roman" w:eastAsia="宋体" w:cs="Times New Roman"/>
                <w:color w:val="000000"/>
                <w:kern w:val="0"/>
                <w:sz w:val="20"/>
                <w:szCs w:val="20"/>
              </w:rPr>
              <w:t xml:space="preserve"> </w:t>
            </w:r>
            <w:r>
              <w:rPr>
                <w:rFonts w:hint="eastAsia" w:ascii="宋体" w:hAnsi="宋体" w:eastAsia="宋体" w:cs="Tahoma"/>
                <w:color w:val="000000"/>
                <w:kern w:val="0"/>
                <w:sz w:val="20"/>
                <w:szCs w:val="20"/>
              </w:rPr>
              <w:t>争取更多调研成果纳入市委决策。</w:t>
            </w:r>
          </w:p>
        </w:tc>
        <w:tc>
          <w:tcPr>
            <w:tcW w:w="722" w:type="dxa"/>
            <w:vMerge w:val="continue"/>
            <w:tcBorders>
              <w:top w:val="nil"/>
              <w:left w:val="single" w:color="auto" w:sz="8" w:space="0"/>
              <w:bottom w:val="nil"/>
              <w:right w:val="single" w:color="auto" w:sz="8" w:space="0"/>
            </w:tcBorders>
            <w:vAlign w:val="center"/>
          </w:tcPr>
          <w:p w14:paraId="06C24F61">
            <w:pPr>
              <w:widowControl/>
              <w:jc w:val="left"/>
              <w:rPr>
                <w:rFonts w:ascii="Times New Roman" w:hAnsi="Times New Roman" w:eastAsia="宋体" w:cs="Times New Roman"/>
                <w:color w:val="000000"/>
                <w:kern w:val="0"/>
                <w:sz w:val="24"/>
                <w:szCs w:val="24"/>
              </w:rPr>
            </w:pPr>
          </w:p>
        </w:tc>
      </w:tr>
      <w:tr w14:paraId="39126A78">
        <w:tblPrEx>
          <w:tblCellMar>
            <w:top w:w="0" w:type="dxa"/>
            <w:left w:w="108" w:type="dxa"/>
            <w:bottom w:w="0" w:type="dxa"/>
            <w:right w:w="108" w:type="dxa"/>
          </w:tblCellMar>
        </w:tblPrEx>
        <w:trPr>
          <w:trHeight w:val="390" w:hRule="atLeast"/>
        </w:trPr>
        <w:tc>
          <w:tcPr>
            <w:tcW w:w="1415" w:type="dxa"/>
            <w:vMerge w:val="continue"/>
            <w:tcBorders>
              <w:top w:val="nil"/>
              <w:left w:val="single" w:color="auto" w:sz="8" w:space="0"/>
              <w:bottom w:val="single" w:color="000000" w:sz="8" w:space="0"/>
              <w:right w:val="single" w:color="auto" w:sz="8" w:space="0"/>
            </w:tcBorders>
            <w:vAlign w:val="center"/>
          </w:tcPr>
          <w:p w14:paraId="33E91D89">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27F7D36D">
            <w:pPr>
              <w:widowControl/>
              <w:jc w:val="left"/>
              <w:rPr>
                <w:rFonts w:ascii="Times New Roman" w:hAnsi="Times New Roman" w:eastAsia="宋体" w:cs="Times New Roman"/>
                <w:color w:val="000000"/>
                <w:kern w:val="0"/>
                <w:sz w:val="20"/>
                <w:szCs w:val="20"/>
              </w:rPr>
            </w:pPr>
          </w:p>
        </w:tc>
        <w:tc>
          <w:tcPr>
            <w:tcW w:w="1265" w:type="dxa"/>
            <w:vMerge w:val="continue"/>
            <w:tcBorders>
              <w:top w:val="nil"/>
              <w:left w:val="single" w:color="auto" w:sz="8" w:space="0"/>
              <w:bottom w:val="nil"/>
              <w:right w:val="single" w:color="auto" w:sz="8" w:space="0"/>
            </w:tcBorders>
            <w:vAlign w:val="center"/>
          </w:tcPr>
          <w:p w14:paraId="383E3C16">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nil"/>
              <w:right w:val="single" w:color="auto" w:sz="8" w:space="0"/>
            </w:tcBorders>
            <w:vAlign w:val="center"/>
          </w:tcPr>
          <w:p w14:paraId="684BEDA0">
            <w:pPr>
              <w:widowControl/>
              <w:jc w:val="left"/>
              <w:rPr>
                <w:rFonts w:ascii="Times New Roman" w:hAnsi="Times New Roman" w:eastAsia="宋体" w:cs="Times New Roman"/>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51C22970">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　</w:t>
            </w:r>
          </w:p>
        </w:tc>
        <w:tc>
          <w:tcPr>
            <w:tcW w:w="846" w:type="dxa"/>
            <w:vMerge w:val="continue"/>
            <w:tcBorders>
              <w:top w:val="nil"/>
              <w:left w:val="single" w:color="auto" w:sz="8" w:space="0"/>
              <w:bottom w:val="nil"/>
              <w:right w:val="single" w:color="auto" w:sz="8" w:space="0"/>
            </w:tcBorders>
            <w:vAlign w:val="center"/>
          </w:tcPr>
          <w:p w14:paraId="4A0FA649">
            <w:pPr>
              <w:widowControl/>
              <w:jc w:val="left"/>
              <w:rPr>
                <w:rFonts w:ascii="Times New Roman" w:hAnsi="Times New Roman" w:eastAsia="宋体" w:cs="Times New Roman"/>
                <w:color w:val="000000"/>
                <w:kern w:val="0"/>
                <w:sz w:val="20"/>
                <w:szCs w:val="20"/>
              </w:rPr>
            </w:pPr>
          </w:p>
        </w:tc>
        <w:tc>
          <w:tcPr>
            <w:tcW w:w="6287" w:type="dxa"/>
            <w:tcBorders>
              <w:top w:val="nil"/>
              <w:left w:val="nil"/>
              <w:bottom w:val="single" w:color="auto" w:sz="8" w:space="0"/>
              <w:right w:val="single" w:color="auto" w:sz="8" w:space="0"/>
            </w:tcBorders>
            <w:shd w:val="clear" w:color="auto" w:fill="auto"/>
            <w:vAlign w:val="center"/>
          </w:tcPr>
          <w:p w14:paraId="4C6096E2">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完成绩效目标得满分，只实现70%（含）以上得4分，70%以下不得分。</w:t>
            </w:r>
          </w:p>
        </w:tc>
        <w:tc>
          <w:tcPr>
            <w:tcW w:w="722" w:type="dxa"/>
            <w:vMerge w:val="continue"/>
            <w:tcBorders>
              <w:top w:val="nil"/>
              <w:left w:val="single" w:color="auto" w:sz="8" w:space="0"/>
              <w:bottom w:val="nil"/>
              <w:right w:val="single" w:color="auto" w:sz="8" w:space="0"/>
            </w:tcBorders>
            <w:vAlign w:val="center"/>
          </w:tcPr>
          <w:p w14:paraId="41DE585F">
            <w:pPr>
              <w:widowControl/>
              <w:jc w:val="left"/>
              <w:rPr>
                <w:rFonts w:ascii="Times New Roman" w:hAnsi="Times New Roman" w:eastAsia="宋体" w:cs="Times New Roman"/>
                <w:color w:val="000000"/>
                <w:kern w:val="0"/>
                <w:sz w:val="24"/>
                <w:szCs w:val="24"/>
              </w:rPr>
            </w:pPr>
          </w:p>
        </w:tc>
      </w:tr>
      <w:tr w14:paraId="14E26B81">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29F4A4CC">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560D3BB0">
            <w:pPr>
              <w:widowControl/>
              <w:jc w:val="left"/>
              <w:rPr>
                <w:rFonts w:ascii="Times New Roman" w:hAnsi="Times New Roman" w:eastAsia="宋体" w:cs="Times New Roman"/>
                <w:color w:val="000000"/>
                <w:kern w:val="0"/>
                <w:sz w:val="20"/>
                <w:szCs w:val="20"/>
              </w:rPr>
            </w:pPr>
          </w:p>
        </w:tc>
        <w:tc>
          <w:tcPr>
            <w:tcW w:w="1265"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0FCDB0DF">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履职</w:t>
            </w:r>
            <w:r>
              <w:rPr>
                <w:rFonts w:ascii="Times New Roman" w:hAnsi="Times New Roman" w:eastAsia="宋体" w:cs="Times New Roman"/>
                <w:color w:val="000000"/>
                <w:kern w:val="0"/>
                <w:sz w:val="20"/>
                <w:szCs w:val="20"/>
              </w:rPr>
              <w:t xml:space="preserve"> </w:t>
            </w:r>
            <w:r>
              <w:rPr>
                <w:rFonts w:hint="eastAsia" w:ascii="宋体" w:hAnsi="宋体" w:eastAsia="宋体" w:cs="Tahoma"/>
                <w:color w:val="000000"/>
                <w:kern w:val="0"/>
                <w:sz w:val="20"/>
                <w:szCs w:val="20"/>
              </w:rPr>
              <w:t>效益</w:t>
            </w:r>
          </w:p>
        </w:tc>
        <w:tc>
          <w:tcPr>
            <w:tcW w:w="845"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5C07F974">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6</w:t>
            </w:r>
          </w:p>
        </w:tc>
        <w:tc>
          <w:tcPr>
            <w:tcW w:w="1825" w:type="dxa"/>
            <w:tcBorders>
              <w:top w:val="single" w:color="auto" w:sz="8" w:space="0"/>
              <w:left w:val="nil"/>
              <w:bottom w:val="single" w:color="auto" w:sz="8" w:space="0"/>
              <w:right w:val="single" w:color="auto" w:sz="8" w:space="0"/>
            </w:tcBorders>
            <w:shd w:val="clear" w:color="auto" w:fill="auto"/>
            <w:vAlign w:val="center"/>
          </w:tcPr>
          <w:p w14:paraId="59103CB2">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经济效益</w:t>
            </w:r>
          </w:p>
        </w:tc>
        <w:tc>
          <w:tcPr>
            <w:tcW w:w="846"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626269DE">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6</w:t>
            </w:r>
          </w:p>
        </w:tc>
        <w:tc>
          <w:tcPr>
            <w:tcW w:w="6287"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14:paraId="56AFD2F8">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①.撰写好呈报性综合材料、总结性材料，1分；；②《长沙调研》、《长沙通讯》，2分。③加强全面深化改革工作督察，1分；④完成重大课题研究，1分；⑤牵头推进全面小康工作，1分。</w:t>
            </w:r>
          </w:p>
        </w:tc>
        <w:tc>
          <w:tcPr>
            <w:tcW w:w="722" w:type="dxa"/>
            <w:vMerge w:val="restart"/>
            <w:tcBorders>
              <w:top w:val="single" w:color="auto" w:sz="8" w:space="0"/>
              <w:left w:val="single" w:color="000000" w:sz="8" w:space="0"/>
              <w:bottom w:val="single" w:color="000000" w:sz="8" w:space="0"/>
              <w:right w:val="single" w:color="auto" w:sz="8" w:space="0"/>
            </w:tcBorders>
            <w:shd w:val="clear" w:color="auto" w:fill="auto"/>
            <w:vAlign w:val="center"/>
          </w:tcPr>
          <w:p w14:paraId="29CD99EF">
            <w:pPr>
              <w:widowControl/>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6</w:t>
            </w:r>
          </w:p>
        </w:tc>
      </w:tr>
      <w:tr w14:paraId="3BEF3E70">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1A08E03A">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2AC29BA4">
            <w:pPr>
              <w:widowControl/>
              <w:jc w:val="left"/>
              <w:rPr>
                <w:rFonts w:ascii="Times New Roman" w:hAnsi="Times New Roman" w:eastAsia="宋体" w:cs="Times New Roman"/>
                <w:color w:val="000000"/>
                <w:kern w:val="0"/>
                <w:sz w:val="20"/>
                <w:szCs w:val="20"/>
              </w:rPr>
            </w:pPr>
          </w:p>
        </w:tc>
        <w:tc>
          <w:tcPr>
            <w:tcW w:w="1265" w:type="dxa"/>
            <w:vMerge w:val="continue"/>
            <w:tcBorders>
              <w:top w:val="single" w:color="auto" w:sz="8" w:space="0"/>
              <w:left w:val="single" w:color="auto" w:sz="8" w:space="0"/>
              <w:bottom w:val="single" w:color="000000" w:sz="8" w:space="0"/>
              <w:right w:val="single" w:color="auto" w:sz="8" w:space="0"/>
            </w:tcBorders>
            <w:vAlign w:val="center"/>
          </w:tcPr>
          <w:p w14:paraId="4A429FF0">
            <w:pPr>
              <w:widowControl/>
              <w:jc w:val="left"/>
              <w:rPr>
                <w:rFonts w:ascii="宋体" w:hAnsi="宋体" w:eastAsia="宋体" w:cs="Tahoma"/>
                <w:color w:val="000000"/>
                <w:kern w:val="0"/>
                <w:sz w:val="20"/>
                <w:szCs w:val="20"/>
              </w:rPr>
            </w:pPr>
          </w:p>
        </w:tc>
        <w:tc>
          <w:tcPr>
            <w:tcW w:w="845" w:type="dxa"/>
            <w:vMerge w:val="continue"/>
            <w:tcBorders>
              <w:top w:val="single" w:color="auto" w:sz="8" w:space="0"/>
              <w:left w:val="single" w:color="auto" w:sz="8" w:space="0"/>
              <w:bottom w:val="single" w:color="000000" w:sz="8" w:space="0"/>
              <w:right w:val="single" w:color="auto" w:sz="8" w:space="0"/>
            </w:tcBorders>
            <w:vAlign w:val="center"/>
          </w:tcPr>
          <w:p w14:paraId="63618CD6">
            <w:pPr>
              <w:widowControl/>
              <w:jc w:val="left"/>
              <w:rPr>
                <w:rFonts w:ascii="Times New Roman" w:hAnsi="Times New Roman" w:eastAsia="宋体" w:cs="Times New Roman"/>
                <w:color w:val="000000"/>
                <w:kern w:val="0"/>
                <w:sz w:val="20"/>
                <w:szCs w:val="20"/>
              </w:rPr>
            </w:pPr>
          </w:p>
        </w:tc>
        <w:tc>
          <w:tcPr>
            <w:tcW w:w="1825" w:type="dxa"/>
            <w:tcBorders>
              <w:top w:val="single" w:color="auto" w:sz="8" w:space="0"/>
              <w:left w:val="nil"/>
              <w:bottom w:val="single" w:color="auto" w:sz="8" w:space="0"/>
              <w:right w:val="single" w:color="auto" w:sz="8" w:space="0"/>
            </w:tcBorders>
            <w:shd w:val="clear" w:color="auto" w:fill="auto"/>
            <w:vAlign w:val="center"/>
          </w:tcPr>
          <w:p w14:paraId="3ECA7667">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社会效益</w:t>
            </w:r>
          </w:p>
        </w:tc>
        <w:tc>
          <w:tcPr>
            <w:tcW w:w="846" w:type="dxa"/>
            <w:vMerge w:val="continue"/>
            <w:tcBorders>
              <w:top w:val="single" w:color="auto" w:sz="8" w:space="0"/>
              <w:left w:val="single" w:color="auto" w:sz="8" w:space="0"/>
              <w:bottom w:val="single" w:color="000000" w:sz="8" w:space="0"/>
              <w:right w:val="single" w:color="auto" w:sz="8" w:space="0"/>
            </w:tcBorders>
            <w:vAlign w:val="center"/>
          </w:tcPr>
          <w:p w14:paraId="5E668ED1">
            <w:pPr>
              <w:widowControl/>
              <w:jc w:val="left"/>
              <w:rPr>
                <w:rFonts w:ascii="Times New Roman" w:hAnsi="Times New Roman" w:eastAsia="宋体" w:cs="Times New Roman"/>
                <w:color w:val="000000"/>
                <w:kern w:val="0"/>
                <w:sz w:val="20"/>
                <w:szCs w:val="20"/>
              </w:rPr>
            </w:pPr>
          </w:p>
        </w:tc>
        <w:tc>
          <w:tcPr>
            <w:tcW w:w="6287" w:type="dxa"/>
            <w:vMerge w:val="continue"/>
            <w:tcBorders>
              <w:top w:val="single" w:color="auto" w:sz="8" w:space="0"/>
              <w:left w:val="single" w:color="auto" w:sz="8" w:space="0"/>
              <w:bottom w:val="single" w:color="000000" w:sz="8" w:space="0"/>
              <w:right w:val="single" w:color="auto" w:sz="8" w:space="0"/>
            </w:tcBorders>
            <w:vAlign w:val="center"/>
          </w:tcPr>
          <w:p w14:paraId="087CA16E">
            <w:pPr>
              <w:widowControl/>
              <w:jc w:val="left"/>
              <w:rPr>
                <w:rFonts w:ascii="宋体" w:hAnsi="宋体" w:eastAsia="宋体" w:cs="Tahoma"/>
                <w:color w:val="000000"/>
                <w:kern w:val="0"/>
                <w:sz w:val="20"/>
                <w:szCs w:val="20"/>
              </w:rPr>
            </w:pPr>
          </w:p>
        </w:tc>
        <w:tc>
          <w:tcPr>
            <w:tcW w:w="722" w:type="dxa"/>
            <w:vMerge w:val="continue"/>
            <w:tcBorders>
              <w:top w:val="single" w:color="auto" w:sz="8" w:space="0"/>
              <w:left w:val="single" w:color="000000" w:sz="8" w:space="0"/>
              <w:bottom w:val="single" w:color="000000" w:sz="8" w:space="0"/>
              <w:right w:val="single" w:color="auto" w:sz="8" w:space="0"/>
            </w:tcBorders>
            <w:vAlign w:val="center"/>
          </w:tcPr>
          <w:p w14:paraId="0FA8088C">
            <w:pPr>
              <w:widowControl/>
              <w:jc w:val="left"/>
              <w:rPr>
                <w:rFonts w:ascii="Times New Roman" w:hAnsi="Times New Roman" w:eastAsia="宋体" w:cs="Times New Roman"/>
                <w:color w:val="000000"/>
                <w:kern w:val="0"/>
                <w:sz w:val="24"/>
                <w:szCs w:val="24"/>
              </w:rPr>
            </w:pPr>
          </w:p>
        </w:tc>
      </w:tr>
      <w:tr w14:paraId="1A8C3BC6">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5903E315">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7904E037">
            <w:pPr>
              <w:widowControl/>
              <w:jc w:val="left"/>
              <w:rPr>
                <w:rFonts w:ascii="Times New Roman" w:hAnsi="Times New Roman" w:eastAsia="宋体" w:cs="Times New Roman"/>
                <w:color w:val="000000"/>
                <w:kern w:val="0"/>
                <w:sz w:val="20"/>
                <w:szCs w:val="20"/>
              </w:rPr>
            </w:pPr>
          </w:p>
        </w:tc>
        <w:tc>
          <w:tcPr>
            <w:tcW w:w="1265" w:type="dxa"/>
            <w:vMerge w:val="continue"/>
            <w:tcBorders>
              <w:top w:val="single" w:color="auto" w:sz="8" w:space="0"/>
              <w:left w:val="single" w:color="auto" w:sz="8" w:space="0"/>
              <w:bottom w:val="single" w:color="000000" w:sz="8" w:space="0"/>
              <w:right w:val="single" w:color="auto" w:sz="8" w:space="0"/>
            </w:tcBorders>
            <w:vAlign w:val="center"/>
          </w:tcPr>
          <w:p w14:paraId="5A6C409B">
            <w:pPr>
              <w:widowControl/>
              <w:jc w:val="left"/>
              <w:rPr>
                <w:rFonts w:ascii="宋体" w:hAnsi="宋体" w:eastAsia="宋体" w:cs="Tahoma"/>
                <w:color w:val="000000"/>
                <w:kern w:val="0"/>
                <w:sz w:val="20"/>
                <w:szCs w:val="20"/>
              </w:rPr>
            </w:pPr>
          </w:p>
        </w:tc>
        <w:tc>
          <w:tcPr>
            <w:tcW w:w="845" w:type="dxa"/>
            <w:vMerge w:val="restart"/>
            <w:tcBorders>
              <w:top w:val="nil"/>
              <w:left w:val="single" w:color="auto" w:sz="8" w:space="0"/>
              <w:bottom w:val="single" w:color="000000" w:sz="8" w:space="0"/>
              <w:right w:val="single" w:color="auto" w:sz="8" w:space="0"/>
            </w:tcBorders>
            <w:shd w:val="clear" w:color="auto" w:fill="auto"/>
            <w:vAlign w:val="center"/>
          </w:tcPr>
          <w:p w14:paraId="378FC1E4">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6</w:t>
            </w:r>
          </w:p>
        </w:tc>
        <w:tc>
          <w:tcPr>
            <w:tcW w:w="1825" w:type="dxa"/>
            <w:tcBorders>
              <w:top w:val="single" w:color="auto" w:sz="8" w:space="0"/>
              <w:left w:val="nil"/>
              <w:bottom w:val="nil"/>
              <w:right w:val="single" w:color="auto" w:sz="8" w:space="0"/>
            </w:tcBorders>
            <w:shd w:val="clear" w:color="auto" w:fill="auto"/>
            <w:vAlign w:val="center"/>
          </w:tcPr>
          <w:p w14:paraId="2A9A801B">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行政</w:t>
            </w:r>
          </w:p>
        </w:tc>
        <w:tc>
          <w:tcPr>
            <w:tcW w:w="846" w:type="dxa"/>
            <w:vMerge w:val="restart"/>
            <w:tcBorders>
              <w:top w:val="nil"/>
              <w:left w:val="single" w:color="auto" w:sz="8" w:space="0"/>
              <w:bottom w:val="single" w:color="000000" w:sz="8" w:space="0"/>
              <w:right w:val="single" w:color="auto" w:sz="8" w:space="0"/>
            </w:tcBorders>
            <w:shd w:val="clear" w:color="auto" w:fill="auto"/>
            <w:vAlign w:val="center"/>
          </w:tcPr>
          <w:p w14:paraId="0557ADE0">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6</w:t>
            </w:r>
          </w:p>
        </w:tc>
        <w:tc>
          <w:tcPr>
            <w:tcW w:w="6287" w:type="dxa"/>
            <w:vMerge w:val="restart"/>
            <w:tcBorders>
              <w:top w:val="nil"/>
              <w:left w:val="single" w:color="auto" w:sz="8" w:space="0"/>
              <w:bottom w:val="single" w:color="000000" w:sz="8" w:space="0"/>
              <w:right w:val="single" w:color="auto" w:sz="8" w:space="0"/>
            </w:tcBorders>
            <w:shd w:val="clear" w:color="auto" w:fill="auto"/>
            <w:vAlign w:val="center"/>
          </w:tcPr>
          <w:p w14:paraId="7693163D">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促进部门改进文风会风，加强经费及资产管理，推动网上办事，提高行政效率，降低行政成本效果较好的计</w:t>
            </w:r>
            <w:r>
              <w:rPr>
                <w:rFonts w:ascii="Times New Roman" w:hAnsi="Times New Roman" w:eastAsia="宋体" w:cs="Times New Roman"/>
                <w:color w:val="000000"/>
                <w:kern w:val="0"/>
                <w:sz w:val="20"/>
                <w:szCs w:val="20"/>
              </w:rPr>
              <w:t>6</w:t>
            </w:r>
            <w:r>
              <w:rPr>
                <w:rFonts w:hint="eastAsia" w:ascii="宋体" w:hAnsi="宋体" w:eastAsia="宋体" w:cs="Tahoma"/>
                <w:color w:val="000000"/>
                <w:kern w:val="0"/>
                <w:sz w:val="20"/>
                <w:szCs w:val="20"/>
              </w:rPr>
              <w:t>分；一般</w:t>
            </w:r>
            <w:r>
              <w:rPr>
                <w:rFonts w:ascii="Times New Roman" w:hAnsi="Times New Roman" w:eastAsia="宋体" w:cs="Times New Roman"/>
                <w:color w:val="000000"/>
                <w:kern w:val="0"/>
                <w:sz w:val="20"/>
                <w:szCs w:val="20"/>
              </w:rPr>
              <w:t>3</w:t>
            </w:r>
            <w:r>
              <w:rPr>
                <w:rFonts w:hint="eastAsia" w:ascii="宋体" w:hAnsi="宋体" w:eastAsia="宋体" w:cs="Tahoma"/>
                <w:color w:val="000000"/>
                <w:kern w:val="0"/>
                <w:sz w:val="20"/>
                <w:szCs w:val="20"/>
              </w:rPr>
              <w:t>分；无效果或者效果不明显</w:t>
            </w:r>
            <w:r>
              <w:rPr>
                <w:rFonts w:ascii="Times New Roman" w:hAnsi="Times New Roman" w:eastAsia="宋体" w:cs="Times New Roman"/>
                <w:color w:val="000000"/>
                <w:kern w:val="0"/>
                <w:sz w:val="20"/>
                <w:szCs w:val="20"/>
              </w:rPr>
              <w:t>0</w:t>
            </w:r>
            <w:r>
              <w:rPr>
                <w:rFonts w:hint="eastAsia" w:ascii="宋体" w:hAnsi="宋体" w:eastAsia="宋体" w:cs="Tahoma"/>
                <w:color w:val="000000"/>
                <w:kern w:val="0"/>
                <w:sz w:val="20"/>
                <w:szCs w:val="20"/>
              </w:rPr>
              <w:t>分。</w:t>
            </w:r>
          </w:p>
        </w:tc>
        <w:tc>
          <w:tcPr>
            <w:tcW w:w="722" w:type="dxa"/>
            <w:vMerge w:val="restart"/>
            <w:tcBorders>
              <w:top w:val="nil"/>
              <w:left w:val="single" w:color="auto" w:sz="8" w:space="0"/>
              <w:bottom w:val="single" w:color="000000" w:sz="8" w:space="0"/>
              <w:right w:val="single" w:color="auto" w:sz="8" w:space="0"/>
            </w:tcBorders>
            <w:shd w:val="clear" w:color="auto" w:fill="auto"/>
            <w:vAlign w:val="center"/>
          </w:tcPr>
          <w:p w14:paraId="5A2F96F5">
            <w:pPr>
              <w:widowControl/>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6</w:t>
            </w:r>
          </w:p>
        </w:tc>
      </w:tr>
      <w:tr w14:paraId="2AF328E7">
        <w:tblPrEx>
          <w:tblCellMar>
            <w:top w:w="0" w:type="dxa"/>
            <w:left w:w="108" w:type="dxa"/>
            <w:bottom w:w="0" w:type="dxa"/>
            <w:right w:w="108" w:type="dxa"/>
          </w:tblCellMar>
        </w:tblPrEx>
        <w:trPr>
          <w:trHeight w:val="525" w:hRule="atLeast"/>
        </w:trPr>
        <w:tc>
          <w:tcPr>
            <w:tcW w:w="1415" w:type="dxa"/>
            <w:vMerge w:val="continue"/>
            <w:tcBorders>
              <w:top w:val="nil"/>
              <w:left w:val="single" w:color="auto" w:sz="8" w:space="0"/>
              <w:bottom w:val="single" w:color="000000" w:sz="8" w:space="0"/>
              <w:right w:val="single" w:color="auto" w:sz="8" w:space="0"/>
            </w:tcBorders>
            <w:vAlign w:val="center"/>
          </w:tcPr>
          <w:p w14:paraId="4BBC895C">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1C2F0195">
            <w:pPr>
              <w:widowControl/>
              <w:jc w:val="left"/>
              <w:rPr>
                <w:rFonts w:ascii="Times New Roman" w:hAnsi="Times New Roman" w:eastAsia="宋体" w:cs="Times New Roman"/>
                <w:color w:val="000000"/>
                <w:kern w:val="0"/>
                <w:sz w:val="20"/>
                <w:szCs w:val="20"/>
              </w:rPr>
            </w:pPr>
          </w:p>
        </w:tc>
        <w:tc>
          <w:tcPr>
            <w:tcW w:w="1265" w:type="dxa"/>
            <w:vMerge w:val="continue"/>
            <w:tcBorders>
              <w:top w:val="single" w:color="auto" w:sz="8" w:space="0"/>
              <w:left w:val="single" w:color="auto" w:sz="8" w:space="0"/>
              <w:bottom w:val="single" w:color="000000" w:sz="8" w:space="0"/>
              <w:right w:val="single" w:color="auto" w:sz="8" w:space="0"/>
            </w:tcBorders>
            <w:vAlign w:val="center"/>
          </w:tcPr>
          <w:p w14:paraId="25D09596">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700E82AC">
            <w:pPr>
              <w:widowControl/>
              <w:jc w:val="left"/>
              <w:rPr>
                <w:rFonts w:ascii="Times New Roman" w:hAnsi="Times New Roman" w:eastAsia="宋体" w:cs="Times New Roman"/>
                <w:color w:val="000000"/>
                <w:kern w:val="0"/>
                <w:sz w:val="20"/>
                <w:szCs w:val="20"/>
              </w:rPr>
            </w:pPr>
          </w:p>
        </w:tc>
        <w:tc>
          <w:tcPr>
            <w:tcW w:w="1825" w:type="dxa"/>
            <w:tcBorders>
              <w:top w:val="nil"/>
              <w:left w:val="nil"/>
              <w:bottom w:val="single" w:color="auto" w:sz="8" w:space="0"/>
              <w:right w:val="single" w:color="auto" w:sz="8" w:space="0"/>
            </w:tcBorders>
            <w:shd w:val="clear" w:color="auto" w:fill="auto"/>
            <w:vAlign w:val="center"/>
          </w:tcPr>
          <w:p w14:paraId="739514F1">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效能</w:t>
            </w:r>
          </w:p>
        </w:tc>
        <w:tc>
          <w:tcPr>
            <w:tcW w:w="846" w:type="dxa"/>
            <w:vMerge w:val="continue"/>
            <w:tcBorders>
              <w:top w:val="nil"/>
              <w:left w:val="single" w:color="auto" w:sz="8" w:space="0"/>
              <w:bottom w:val="single" w:color="000000" w:sz="8" w:space="0"/>
              <w:right w:val="single" w:color="auto" w:sz="8" w:space="0"/>
            </w:tcBorders>
            <w:vAlign w:val="center"/>
          </w:tcPr>
          <w:p w14:paraId="4C4AE79B">
            <w:pPr>
              <w:widowControl/>
              <w:jc w:val="left"/>
              <w:rPr>
                <w:rFonts w:ascii="Times New Roman" w:hAnsi="Times New Roman" w:eastAsia="宋体" w:cs="Times New Roman"/>
                <w:color w:val="000000"/>
                <w:kern w:val="0"/>
                <w:sz w:val="20"/>
                <w:szCs w:val="20"/>
              </w:rPr>
            </w:pPr>
          </w:p>
        </w:tc>
        <w:tc>
          <w:tcPr>
            <w:tcW w:w="6287" w:type="dxa"/>
            <w:vMerge w:val="continue"/>
            <w:tcBorders>
              <w:top w:val="nil"/>
              <w:left w:val="single" w:color="auto" w:sz="8" w:space="0"/>
              <w:bottom w:val="single" w:color="000000" w:sz="8" w:space="0"/>
              <w:right w:val="single" w:color="auto" w:sz="8" w:space="0"/>
            </w:tcBorders>
            <w:vAlign w:val="center"/>
          </w:tcPr>
          <w:p w14:paraId="55FCC86B">
            <w:pPr>
              <w:widowControl/>
              <w:jc w:val="left"/>
              <w:rPr>
                <w:rFonts w:ascii="宋体" w:hAnsi="宋体" w:eastAsia="宋体" w:cs="Tahoma"/>
                <w:color w:val="000000"/>
                <w:kern w:val="0"/>
                <w:sz w:val="20"/>
                <w:szCs w:val="20"/>
              </w:rPr>
            </w:pPr>
          </w:p>
        </w:tc>
        <w:tc>
          <w:tcPr>
            <w:tcW w:w="722" w:type="dxa"/>
            <w:vMerge w:val="continue"/>
            <w:tcBorders>
              <w:top w:val="nil"/>
              <w:left w:val="single" w:color="auto" w:sz="8" w:space="0"/>
              <w:bottom w:val="single" w:color="000000" w:sz="8" w:space="0"/>
              <w:right w:val="single" w:color="auto" w:sz="8" w:space="0"/>
            </w:tcBorders>
            <w:vAlign w:val="center"/>
          </w:tcPr>
          <w:p w14:paraId="1B5778FD">
            <w:pPr>
              <w:widowControl/>
              <w:jc w:val="left"/>
              <w:rPr>
                <w:rFonts w:ascii="Times New Roman" w:hAnsi="Times New Roman" w:eastAsia="宋体" w:cs="Times New Roman"/>
                <w:color w:val="000000"/>
                <w:kern w:val="0"/>
                <w:sz w:val="24"/>
                <w:szCs w:val="24"/>
              </w:rPr>
            </w:pPr>
          </w:p>
        </w:tc>
      </w:tr>
      <w:tr w14:paraId="5F588874">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09D7785C">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754CFA60">
            <w:pPr>
              <w:widowControl/>
              <w:jc w:val="left"/>
              <w:rPr>
                <w:rFonts w:ascii="Times New Roman" w:hAnsi="Times New Roman" w:eastAsia="宋体" w:cs="Times New Roman"/>
                <w:color w:val="000000"/>
                <w:kern w:val="0"/>
                <w:sz w:val="20"/>
                <w:szCs w:val="20"/>
              </w:rPr>
            </w:pPr>
          </w:p>
        </w:tc>
        <w:tc>
          <w:tcPr>
            <w:tcW w:w="1265" w:type="dxa"/>
            <w:vMerge w:val="continue"/>
            <w:tcBorders>
              <w:top w:val="single" w:color="auto" w:sz="8" w:space="0"/>
              <w:left w:val="single" w:color="auto" w:sz="8" w:space="0"/>
              <w:bottom w:val="single" w:color="000000" w:sz="8" w:space="0"/>
              <w:right w:val="single" w:color="auto" w:sz="8" w:space="0"/>
            </w:tcBorders>
            <w:vAlign w:val="center"/>
          </w:tcPr>
          <w:p w14:paraId="0B7C705B">
            <w:pPr>
              <w:widowControl/>
              <w:jc w:val="left"/>
              <w:rPr>
                <w:rFonts w:ascii="宋体" w:hAnsi="宋体" w:eastAsia="宋体" w:cs="Tahoma"/>
                <w:color w:val="000000"/>
                <w:kern w:val="0"/>
                <w:sz w:val="20"/>
                <w:szCs w:val="20"/>
              </w:rPr>
            </w:pPr>
          </w:p>
        </w:tc>
        <w:tc>
          <w:tcPr>
            <w:tcW w:w="845" w:type="dxa"/>
            <w:vMerge w:val="restart"/>
            <w:tcBorders>
              <w:top w:val="nil"/>
              <w:left w:val="single" w:color="auto" w:sz="8" w:space="0"/>
              <w:bottom w:val="single" w:color="000000" w:sz="8" w:space="0"/>
              <w:right w:val="single" w:color="auto" w:sz="8" w:space="0"/>
            </w:tcBorders>
            <w:shd w:val="clear" w:color="auto" w:fill="auto"/>
            <w:vAlign w:val="center"/>
          </w:tcPr>
          <w:p w14:paraId="669D2BA8">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6</w:t>
            </w:r>
          </w:p>
        </w:tc>
        <w:tc>
          <w:tcPr>
            <w:tcW w:w="1825" w:type="dxa"/>
            <w:vMerge w:val="restart"/>
            <w:tcBorders>
              <w:top w:val="nil"/>
              <w:left w:val="single" w:color="auto" w:sz="8" w:space="0"/>
              <w:bottom w:val="single" w:color="000000" w:sz="8" w:space="0"/>
              <w:right w:val="single" w:color="auto" w:sz="8" w:space="0"/>
            </w:tcBorders>
            <w:shd w:val="clear" w:color="auto" w:fill="auto"/>
            <w:vAlign w:val="center"/>
          </w:tcPr>
          <w:p w14:paraId="2851BD99">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社会公众或服务对象满意度</w:t>
            </w:r>
          </w:p>
        </w:tc>
        <w:tc>
          <w:tcPr>
            <w:tcW w:w="846" w:type="dxa"/>
            <w:vMerge w:val="restart"/>
            <w:tcBorders>
              <w:top w:val="nil"/>
              <w:left w:val="single" w:color="auto" w:sz="8" w:space="0"/>
              <w:bottom w:val="single" w:color="000000" w:sz="8" w:space="0"/>
              <w:right w:val="single" w:color="auto" w:sz="8" w:space="0"/>
            </w:tcBorders>
            <w:shd w:val="clear" w:color="auto" w:fill="auto"/>
            <w:vAlign w:val="center"/>
          </w:tcPr>
          <w:p w14:paraId="583232A6">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6</w:t>
            </w:r>
          </w:p>
        </w:tc>
        <w:tc>
          <w:tcPr>
            <w:tcW w:w="6287" w:type="dxa"/>
            <w:tcBorders>
              <w:top w:val="nil"/>
              <w:left w:val="nil"/>
              <w:bottom w:val="nil"/>
              <w:right w:val="single" w:color="auto" w:sz="8" w:space="0"/>
            </w:tcBorders>
            <w:shd w:val="clear" w:color="auto" w:fill="auto"/>
            <w:vAlign w:val="center"/>
          </w:tcPr>
          <w:p w14:paraId="2F654B68">
            <w:pPr>
              <w:widowControl/>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90%</w:t>
            </w:r>
            <w:r>
              <w:rPr>
                <w:rFonts w:hint="eastAsia" w:ascii="宋体" w:hAnsi="宋体" w:eastAsia="宋体" w:cs="Times New Roman"/>
                <w:color w:val="000000"/>
                <w:kern w:val="0"/>
                <w:sz w:val="20"/>
                <w:szCs w:val="20"/>
              </w:rPr>
              <w:t>（含）以上计</w:t>
            </w:r>
            <w:r>
              <w:rPr>
                <w:rFonts w:ascii="Times New Roman" w:hAnsi="Times New Roman" w:eastAsia="宋体" w:cs="Times New Roman"/>
                <w:color w:val="000000"/>
                <w:kern w:val="0"/>
                <w:sz w:val="20"/>
                <w:szCs w:val="20"/>
              </w:rPr>
              <w:t>6</w:t>
            </w:r>
            <w:r>
              <w:rPr>
                <w:rFonts w:hint="eastAsia" w:ascii="宋体" w:hAnsi="宋体" w:eastAsia="宋体" w:cs="Times New Roman"/>
                <w:color w:val="000000"/>
                <w:kern w:val="0"/>
                <w:sz w:val="20"/>
                <w:szCs w:val="20"/>
              </w:rPr>
              <w:t>分；</w:t>
            </w:r>
          </w:p>
        </w:tc>
        <w:tc>
          <w:tcPr>
            <w:tcW w:w="722" w:type="dxa"/>
            <w:vMerge w:val="restart"/>
            <w:tcBorders>
              <w:top w:val="nil"/>
              <w:left w:val="single" w:color="auto" w:sz="8" w:space="0"/>
              <w:bottom w:val="single" w:color="000000" w:sz="8" w:space="0"/>
              <w:right w:val="single" w:color="auto" w:sz="8" w:space="0"/>
            </w:tcBorders>
            <w:shd w:val="clear" w:color="auto" w:fill="auto"/>
            <w:vAlign w:val="center"/>
          </w:tcPr>
          <w:p w14:paraId="054EC65F">
            <w:pPr>
              <w:widowControl/>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6</w:t>
            </w:r>
          </w:p>
        </w:tc>
      </w:tr>
      <w:tr w14:paraId="08434867">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70A439AE">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3B554491">
            <w:pPr>
              <w:widowControl/>
              <w:jc w:val="left"/>
              <w:rPr>
                <w:rFonts w:ascii="Times New Roman" w:hAnsi="Times New Roman" w:eastAsia="宋体" w:cs="Times New Roman"/>
                <w:color w:val="000000"/>
                <w:kern w:val="0"/>
                <w:sz w:val="20"/>
                <w:szCs w:val="20"/>
              </w:rPr>
            </w:pPr>
          </w:p>
        </w:tc>
        <w:tc>
          <w:tcPr>
            <w:tcW w:w="1265" w:type="dxa"/>
            <w:vMerge w:val="continue"/>
            <w:tcBorders>
              <w:top w:val="single" w:color="auto" w:sz="8" w:space="0"/>
              <w:left w:val="single" w:color="auto" w:sz="8" w:space="0"/>
              <w:bottom w:val="single" w:color="000000" w:sz="8" w:space="0"/>
              <w:right w:val="single" w:color="auto" w:sz="8" w:space="0"/>
            </w:tcBorders>
            <w:vAlign w:val="center"/>
          </w:tcPr>
          <w:p w14:paraId="53F96CA1">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344FDF30">
            <w:pPr>
              <w:widowControl/>
              <w:jc w:val="left"/>
              <w:rPr>
                <w:rFonts w:ascii="Times New Roman" w:hAnsi="Times New Roman" w:eastAsia="宋体" w:cs="Times New Roman"/>
                <w:color w:val="000000"/>
                <w:kern w:val="0"/>
                <w:sz w:val="20"/>
                <w:szCs w:val="20"/>
              </w:rPr>
            </w:pPr>
          </w:p>
        </w:tc>
        <w:tc>
          <w:tcPr>
            <w:tcW w:w="1825" w:type="dxa"/>
            <w:vMerge w:val="continue"/>
            <w:tcBorders>
              <w:top w:val="nil"/>
              <w:left w:val="single" w:color="auto" w:sz="8" w:space="0"/>
              <w:bottom w:val="single" w:color="000000" w:sz="8" w:space="0"/>
              <w:right w:val="single" w:color="auto" w:sz="8" w:space="0"/>
            </w:tcBorders>
            <w:vAlign w:val="center"/>
          </w:tcPr>
          <w:p w14:paraId="36233F82">
            <w:pPr>
              <w:widowControl/>
              <w:jc w:val="left"/>
              <w:rPr>
                <w:rFonts w:ascii="宋体" w:hAnsi="宋体" w:eastAsia="宋体" w:cs="Tahoma"/>
                <w:color w:val="000000"/>
                <w:kern w:val="0"/>
                <w:sz w:val="20"/>
                <w:szCs w:val="20"/>
              </w:rPr>
            </w:pPr>
          </w:p>
        </w:tc>
        <w:tc>
          <w:tcPr>
            <w:tcW w:w="846" w:type="dxa"/>
            <w:vMerge w:val="continue"/>
            <w:tcBorders>
              <w:top w:val="nil"/>
              <w:left w:val="single" w:color="auto" w:sz="8" w:space="0"/>
              <w:bottom w:val="single" w:color="000000" w:sz="8" w:space="0"/>
              <w:right w:val="single" w:color="auto" w:sz="8" w:space="0"/>
            </w:tcBorders>
            <w:vAlign w:val="center"/>
          </w:tcPr>
          <w:p w14:paraId="1665DCC3">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3ADDAFE0">
            <w:pPr>
              <w:widowControl/>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80%</w:t>
            </w:r>
            <w:r>
              <w:rPr>
                <w:rFonts w:hint="eastAsia" w:ascii="宋体" w:hAnsi="宋体" w:eastAsia="宋体" w:cs="Times New Roman"/>
                <w:color w:val="000000"/>
                <w:kern w:val="0"/>
                <w:sz w:val="20"/>
                <w:szCs w:val="20"/>
              </w:rPr>
              <w:t>（含）</w:t>
            </w:r>
            <w:r>
              <w:rPr>
                <w:rFonts w:ascii="Times New Roman" w:hAnsi="Times New Roman" w:eastAsia="宋体" w:cs="Times New Roman"/>
                <w:color w:val="000000"/>
                <w:kern w:val="0"/>
                <w:sz w:val="20"/>
                <w:szCs w:val="20"/>
              </w:rPr>
              <w:t>-90%</w:t>
            </w:r>
            <w:r>
              <w:rPr>
                <w:rFonts w:hint="eastAsia" w:ascii="宋体" w:hAnsi="宋体" w:eastAsia="宋体" w:cs="Times New Roman"/>
                <w:color w:val="000000"/>
                <w:kern w:val="0"/>
                <w:sz w:val="20"/>
                <w:szCs w:val="20"/>
              </w:rPr>
              <w:t>，计</w:t>
            </w:r>
            <w:r>
              <w:rPr>
                <w:rFonts w:ascii="Times New Roman" w:hAnsi="Times New Roman" w:eastAsia="宋体" w:cs="Times New Roman"/>
                <w:color w:val="000000"/>
                <w:kern w:val="0"/>
                <w:sz w:val="20"/>
                <w:szCs w:val="20"/>
              </w:rPr>
              <w:t>4</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5752F8C1">
            <w:pPr>
              <w:widowControl/>
              <w:jc w:val="left"/>
              <w:rPr>
                <w:rFonts w:ascii="Times New Roman" w:hAnsi="Times New Roman" w:eastAsia="宋体" w:cs="Times New Roman"/>
                <w:color w:val="000000"/>
                <w:kern w:val="0"/>
                <w:sz w:val="24"/>
                <w:szCs w:val="24"/>
              </w:rPr>
            </w:pPr>
          </w:p>
        </w:tc>
      </w:tr>
      <w:tr w14:paraId="32105F80">
        <w:tblPrEx>
          <w:tblCellMar>
            <w:top w:w="0" w:type="dxa"/>
            <w:left w:w="108" w:type="dxa"/>
            <w:bottom w:w="0" w:type="dxa"/>
            <w:right w:w="108" w:type="dxa"/>
          </w:tblCellMar>
        </w:tblPrEx>
        <w:trPr>
          <w:trHeight w:val="270" w:hRule="atLeast"/>
        </w:trPr>
        <w:tc>
          <w:tcPr>
            <w:tcW w:w="1415" w:type="dxa"/>
            <w:vMerge w:val="continue"/>
            <w:tcBorders>
              <w:top w:val="nil"/>
              <w:left w:val="single" w:color="auto" w:sz="8" w:space="0"/>
              <w:bottom w:val="single" w:color="000000" w:sz="8" w:space="0"/>
              <w:right w:val="single" w:color="auto" w:sz="8" w:space="0"/>
            </w:tcBorders>
            <w:vAlign w:val="center"/>
          </w:tcPr>
          <w:p w14:paraId="40A30B50">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4CD90853">
            <w:pPr>
              <w:widowControl/>
              <w:jc w:val="left"/>
              <w:rPr>
                <w:rFonts w:ascii="Times New Roman" w:hAnsi="Times New Roman" w:eastAsia="宋体" w:cs="Times New Roman"/>
                <w:color w:val="000000"/>
                <w:kern w:val="0"/>
                <w:sz w:val="20"/>
                <w:szCs w:val="20"/>
              </w:rPr>
            </w:pPr>
          </w:p>
        </w:tc>
        <w:tc>
          <w:tcPr>
            <w:tcW w:w="1265" w:type="dxa"/>
            <w:vMerge w:val="continue"/>
            <w:tcBorders>
              <w:top w:val="single" w:color="auto" w:sz="8" w:space="0"/>
              <w:left w:val="single" w:color="auto" w:sz="8" w:space="0"/>
              <w:bottom w:val="single" w:color="000000" w:sz="8" w:space="0"/>
              <w:right w:val="single" w:color="auto" w:sz="8" w:space="0"/>
            </w:tcBorders>
            <w:vAlign w:val="center"/>
          </w:tcPr>
          <w:p w14:paraId="3C29E877">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6F8887B4">
            <w:pPr>
              <w:widowControl/>
              <w:jc w:val="left"/>
              <w:rPr>
                <w:rFonts w:ascii="Times New Roman" w:hAnsi="Times New Roman" w:eastAsia="宋体" w:cs="Times New Roman"/>
                <w:color w:val="000000"/>
                <w:kern w:val="0"/>
                <w:sz w:val="20"/>
                <w:szCs w:val="20"/>
              </w:rPr>
            </w:pPr>
          </w:p>
        </w:tc>
        <w:tc>
          <w:tcPr>
            <w:tcW w:w="1825" w:type="dxa"/>
            <w:vMerge w:val="continue"/>
            <w:tcBorders>
              <w:top w:val="nil"/>
              <w:left w:val="single" w:color="auto" w:sz="8" w:space="0"/>
              <w:bottom w:val="single" w:color="000000" w:sz="8" w:space="0"/>
              <w:right w:val="single" w:color="auto" w:sz="8" w:space="0"/>
            </w:tcBorders>
            <w:vAlign w:val="center"/>
          </w:tcPr>
          <w:p w14:paraId="1104B990">
            <w:pPr>
              <w:widowControl/>
              <w:jc w:val="left"/>
              <w:rPr>
                <w:rFonts w:ascii="宋体" w:hAnsi="宋体" w:eastAsia="宋体" w:cs="Tahoma"/>
                <w:color w:val="000000"/>
                <w:kern w:val="0"/>
                <w:sz w:val="20"/>
                <w:szCs w:val="20"/>
              </w:rPr>
            </w:pPr>
          </w:p>
        </w:tc>
        <w:tc>
          <w:tcPr>
            <w:tcW w:w="846" w:type="dxa"/>
            <w:vMerge w:val="continue"/>
            <w:tcBorders>
              <w:top w:val="nil"/>
              <w:left w:val="single" w:color="auto" w:sz="8" w:space="0"/>
              <w:bottom w:val="single" w:color="000000" w:sz="8" w:space="0"/>
              <w:right w:val="single" w:color="auto" w:sz="8" w:space="0"/>
            </w:tcBorders>
            <w:vAlign w:val="center"/>
          </w:tcPr>
          <w:p w14:paraId="47B4F235">
            <w:pPr>
              <w:widowControl/>
              <w:jc w:val="left"/>
              <w:rPr>
                <w:rFonts w:ascii="Times New Roman" w:hAnsi="Times New Roman" w:eastAsia="宋体" w:cs="Times New Roman"/>
                <w:color w:val="000000"/>
                <w:kern w:val="0"/>
                <w:sz w:val="20"/>
                <w:szCs w:val="20"/>
              </w:rPr>
            </w:pPr>
          </w:p>
        </w:tc>
        <w:tc>
          <w:tcPr>
            <w:tcW w:w="6287" w:type="dxa"/>
            <w:tcBorders>
              <w:top w:val="nil"/>
              <w:left w:val="nil"/>
              <w:bottom w:val="nil"/>
              <w:right w:val="single" w:color="auto" w:sz="8" w:space="0"/>
            </w:tcBorders>
            <w:shd w:val="clear" w:color="auto" w:fill="auto"/>
            <w:vAlign w:val="center"/>
          </w:tcPr>
          <w:p w14:paraId="77F41C69">
            <w:pPr>
              <w:widowControl/>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70%</w:t>
            </w:r>
            <w:r>
              <w:rPr>
                <w:rFonts w:hint="eastAsia" w:ascii="宋体" w:hAnsi="宋体" w:eastAsia="宋体" w:cs="Times New Roman"/>
                <w:color w:val="000000"/>
                <w:kern w:val="0"/>
                <w:sz w:val="20"/>
                <w:szCs w:val="20"/>
              </w:rPr>
              <w:t>（含）</w:t>
            </w:r>
            <w:r>
              <w:rPr>
                <w:rFonts w:ascii="Times New Roman" w:hAnsi="Times New Roman" w:eastAsia="宋体" w:cs="Times New Roman"/>
                <w:color w:val="000000"/>
                <w:kern w:val="0"/>
                <w:sz w:val="20"/>
                <w:szCs w:val="20"/>
              </w:rPr>
              <w:t>-80%</w:t>
            </w:r>
            <w:r>
              <w:rPr>
                <w:rFonts w:hint="eastAsia" w:ascii="宋体" w:hAnsi="宋体" w:eastAsia="宋体" w:cs="Times New Roman"/>
                <w:color w:val="000000"/>
                <w:kern w:val="0"/>
                <w:sz w:val="20"/>
                <w:szCs w:val="20"/>
              </w:rPr>
              <w:t>，计</w:t>
            </w:r>
            <w:r>
              <w:rPr>
                <w:rFonts w:ascii="Times New Roman" w:hAnsi="Times New Roman" w:eastAsia="宋体" w:cs="Times New Roman"/>
                <w:color w:val="000000"/>
                <w:kern w:val="0"/>
                <w:sz w:val="20"/>
                <w:szCs w:val="20"/>
              </w:rPr>
              <w:t>2</w:t>
            </w:r>
            <w:r>
              <w:rPr>
                <w:rFonts w:hint="eastAsia" w:ascii="宋体" w:hAnsi="宋体" w:eastAsia="宋体" w:cs="Times New Roman"/>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3F8498C2">
            <w:pPr>
              <w:widowControl/>
              <w:jc w:val="left"/>
              <w:rPr>
                <w:rFonts w:ascii="Times New Roman" w:hAnsi="Times New Roman" w:eastAsia="宋体" w:cs="Times New Roman"/>
                <w:color w:val="000000"/>
                <w:kern w:val="0"/>
                <w:sz w:val="24"/>
                <w:szCs w:val="24"/>
              </w:rPr>
            </w:pPr>
          </w:p>
        </w:tc>
      </w:tr>
      <w:tr w14:paraId="1BE76922">
        <w:tblPrEx>
          <w:tblCellMar>
            <w:top w:w="0" w:type="dxa"/>
            <w:left w:w="108" w:type="dxa"/>
            <w:bottom w:w="0" w:type="dxa"/>
            <w:right w:w="108" w:type="dxa"/>
          </w:tblCellMar>
        </w:tblPrEx>
        <w:trPr>
          <w:trHeight w:val="515" w:hRule="atLeast"/>
        </w:trPr>
        <w:tc>
          <w:tcPr>
            <w:tcW w:w="1415" w:type="dxa"/>
            <w:vMerge w:val="continue"/>
            <w:tcBorders>
              <w:top w:val="nil"/>
              <w:left w:val="single" w:color="auto" w:sz="8" w:space="0"/>
              <w:bottom w:val="single" w:color="000000" w:sz="8" w:space="0"/>
              <w:right w:val="single" w:color="auto" w:sz="8" w:space="0"/>
            </w:tcBorders>
            <w:vAlign w:val="center"/>
          </w:tcPr>
          <w:p w14:paraId="49B4494B">
            <w:pPr>
              <w:widowControl/>
              <w:jc w:val="left"/>
              <w:rPr>
                <w:rFonts w:ascii="宋体" w:hAnsi="宋体" w:eastAsia="宋体" w:cs="Tahoma"/>
                <w:color w:val="000000"/>
                <w:kern w:val="0"/>
                <w:sz w:val="20"/>
                <w:szCs w:val="20"/>
              </w:rPr>
            </w:pPr>
          </w:p>
        </w:tc>
        <w:tc>
          <w:tcPr>
            <w:tcW w:w="985" w:type="dxa"/>
            <w:vMerge w:val="continue"/>
            <w:tcBorders>
              <w:top w:val="nil"/>
              <w:left w:val="single" w:color="auto" w:sz="8" w:space="0"/>
              <w:bottom w:val="single" w:color="000000" w:sz="8" w:space="0"/>
              <w:right w:val="single" w:color="auto" w:sz="8" w:space="0"/>
            </w:tcBorders>
            <w:vAlign w:val="center"/>
          </w:tcPr>
          <w:p w14:paraId="72754743">
            <w:pPr>
              <w:widowControl/>
              <w:jc w:val="left"/>
              <w:rPr>
                <w:rFonts w:ascii="Times New Roman" w:hAnsi="Times New Roman" w:eastAsia="宋体" w:cs="Times New Roman"/>
                <w:color w:val="000000"/>
                <w:kern w:val="0"/>
                <w:sz w:val="20"/>
                <w:szCs w:val="20"/>
              </w:rPr>
            </w:pPr>
          </w:p>
        </w:tc>
        <w:tc>
          <w:tcPr>
            <w:tcW w:w="1265" w:type="dxa"/>
            <w:vMerge w:val="continue"/>
            <w:tcBorders>
              <w:top w:val="single" w:color="auto" w:sz="8" w:space="0"/>
              <w:left w:val="single" w:color="auto" w:sz="8" w:space="0"/>
              <w:bottom w:val="single" w:color="000000" w:sz="8" w:space="0"/>
              <w:right w:val="single" w:color="auto" w:sz="8" w:space="0"/>
            </w:tcBorders>
            <w:vAlign w:val="center"/>
          </w:tcPr>
          <w:p w14:paraId="5DA00843">
            <w:pPr>
              <w:widowControl/>
              <w:jc w:val="left"/>
              <w:rPr>
                <w:rFonts w:ascii="宋体" w:hAnsi="宋体" w:eastAsia="宋体" w:cs="Tahoma"/>
                <w:color w:val="000000"/>
                <w:kern w:val="0"/>
                <w:sz w:val="20"/>
                <w:szCs w:val="20"/>
              </w:rPr>
            </w:pPr>
          </w:p>
        </w:tc>
        <w:tc>
          <w:tcPr>
            <w:tcW w:w="845" w:type="dxa"/>
            <w:vMerge w:val="continue"/>
            <w:tcBorders>
              <w:top w:val="nil"/>
              <w:left w:val="single" w:color="auto" w:sz="8" w:space="0"/>
              <w:bottom w:val="single" w:color="000000" w:sz="8" w:space="0"/>
              <w:right w:val="single" w:color="auto" w:sz="8" w:space="0"/>
            </w:tcBorders>
            <w:vAlign w:val="center"/>
          </w:tcPr>
          <w:p w14:paraId="215EB7FF">
            <w:pPr>
              <w:widowControl/>
              <w:jc w:val="left"/>
              <w:rPr>
                <w:rFonts w:ascii="Times New Roman" w:hAnsi="Times New Roman" w:eastAsia="宋体" w:cs="Times New Roman"/>
                <w:color w:val="000000"/>
                <w:kern w:val="0"/>
                <w:sz w:val="20"/>
                <w:szCs w:val="20"/>
              </w:rPr>
            </w:pPr>
          </w:p>
        </w:tc>
        <w:tc>
          <w:tcPr>
            <w:tcW w:w="1825" w:type="dxa"/>
            <w:vMerge w:val="continue"/>
            <w:tcBorders>
              <w:top w:val="nil"/>
              <w:left w:val="single" w:color="auto" w:sz="8" w:space="0"/>
              <w:bottom w:val="single" w:color="000000" w:sz="8" w:space="0"/>
              <w:right w:val="single" w:color="auto" w:sz="8" w:space="0"/>
            </w:tcBorders>
            <w:vAlign w:val="center"/>
          </w:tcPr>
          <w:p w14:paraId="5E020E89">
            <w:pPr>
              <w:widowControl/>
              <w:jc w:val="left"/>
              <w:rPr>
                <w:rFonts w:ascii="宋体" w:hAnsi="宋体" w:eastAsia="宋体" w:cs="Tahoma"/>
                <w:color w:val="000000"/>
                <w:kern w:val="0"/>
                <w:sz w:val="20"/>
                <w:szCs w:val="20"/>
              </w:rPr>
            </w:pPr>
          </w:p>
        </w:tc>
        <w:tc>
          <w:tcPr>
            <w:tcW w:w="846" w:type="dxa"/>
            <w:vMerge w:val="continue"/>
            <w:tcBorders>
              <w:top w:val="nil"/>
              <w:left w:val="single" w:color="auto" w:sz="8" w:space="0"/>
              <w:bottom w:val="single" w:color="000000" w:sz="8" w:space="0"/>
              <w:right w:val="single" w:color="auto" w:sz="8" w:space="0"/>
            </w:tcBorders>
            <w:vAlign w:val="center"/>
          </w:tcPr>
          <w:p w14:paraId="34CFFA93">
            <w:pPr>
              <w:widowControl/>
              <w:jc w:val="left"/>
              <w:rPr>
                <w:rFonts w:ascii="Times New Roman" w:hAnsi="Times New Roman" w:eastAsia="宋体" w:cs="Times New Roman"/>
                <w:color w:val="000000"/>
                <w:kern w:val="0"/>
                <w:sz w:val="20"/>
                <w:szCs w:val="20"/>
              </w:rPr>
            </w:pPr>
          </w:p>
        </w:tc>
        <w:tc>
          <w:tcPr>
            <w:tcW w:w="6287" w:type="dxa"/>
            <w:tcBorders>
              <w:top w:val="nil"/>
              <w:left w:val="nil"/>
              <w:bottom w:val="single" w:color="auto" w:sz="8" w:space="0"/>
              <w:right w:val="single" w:color="auto" w:sz="8" w:space="0"/>
            </w:tcBorders>
            <w:shd w:val="clear" w:color="auto" w:fill="auto"/>
            <w:vAlign w:val="center"/>
          </w:tcPr>
          <w:p w14:paraId="6C2709FA">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低于</w:t>
            </w:r>
            <w:r>
              <w:rPr>
                <w:rFonts w:ascii="Times New Roman" w:hAnsi="Times New Roman" w:eastAsia="宋体" w:cs="Times New Roman"/>
                <w:color w:val="000000"/>
                <w:kern w:val="0"/>
                <w:sz w:val="20"/>
                <w:szCs w:val="20"/>
              </w:rPr>
              <w:t>70%</w:t>
            </w:r>
            <w:r>
              <w:rPr>
                <w:rFonts w:hint="eastAsia" w:ascii="宋体" w:hAnsi="宋体" w:eastAsia="宋体" w:cs="Tahoma"/>
                <w:color w:val="000000"/>
                <w:kern w:val="0"/>
                <w:sz w:val="20"/>
                <w:szCs w:val="20"/>
              </w:rPr>
              <w:t>计</w:t>
            </w:r>
            <w:r>
              <w:rPr>
                <w:rFonts w:ascii="Times New Roman" w:hAnsi="Times New Roman" w:eastAsia="宋体" w:cs="Times New Roman"/>
                <w:color w:val="000000"/>
                <w:kern w:val="0"/>
                <w:sz w:val="20"/>
                <w:szCs w:val="20"/>
              </w:rPr>
              <w:t>0</w:t>
            </w:r>
            <w:r>
              <w:rPr>
                <w:rFonts w:hint="eastAsia" w:ascii="宋体" w:hAnsi="宋体" w:eastAsia="宋体" w:cs="Tahoma"/>
                <w:color w:val="000000"/>
                <w:kern w:val="0"/>
                <w:sz w:val="20"/>
                <w:szCs w:val="20"/>
              </w:rPr>
              <w:t>分。</w:t>
            </w:r>
          </w:p>
        </w:tc>
        <w:tc>
          <w:tcPr>
            <w:tcW w:w="722" w:type="dxa"/>
            <w:vMerge w:val="continue"/>
            <w:tcBorders>
              <w:top w:val="nil"/>
              <w:left w:val="single" w:color="auto" w:sz="8" w:space="0"/>
              <w:bottom w:val="single" w:color="000000" w:sz="8" w:space="0"/>
              <w:right w:val="single" w:color="auto" w:sz="8" w:space="0"/>
            </w:tcBorders>
            <w:vAlign w:val="center"/>
          </w:tcPr>
          <w:p w14:paraId="1C4A2830">
            <w:pPr>
              <w:widowControl/>
              <w:jc w:val="left"/>
              <w:rPr>
                <w:rFonts w:ascii="Times New Roman" w:hAnsi="Times New Roman" w:eastAsia="宋体" w:cs="Times New Roman"/>
                <w:color w:val="000000"/>
                <w:kern w:val="0"/>
                <w:sz w:val="24"/>
                <w:szCs w:val="24"/>
              </w:rPr>
            </w:pPr>
          </w:p>
        </w:tc>
      </w:tr>
      <w:tr w14:paraId="6690B321">
        <w:tblPrEx>
          <w:tblCellMar>
            <w:top w:w="0" w:type="dxa"/>
            <w:left w:w="108" w:type="dxa"/>
            <w:bottom w:w="0" w:type="dxa"/>
            <w:right w:w="108" w:type="dxa"/>
          </w:tblCellMar>
        </w:tblPrEx>
        <w:trPr>
          <w:trHeight w:val="270" w:hRule="atLeast"/>
        </w:trPr>
        <w:tc>
          <w:tcPr>
            <w:tcW w:w="6335" w:type="dxa"/>
            <w:gridSpan w:val="5"/>
            <w:tcBorders>
              <w:top w:val="single" w:color="auto" w:sz="8" w:space="0"/>
              <w:left w:val="single" w:color="auto" w:sz="8" w:space="0"/>
              <w:bottom w:val="single" w:color="auto" w:sz="8" w:space="0"/>
              <w:right w:val="single" w:color="000000" w:sz="8" w:space="0"/>
            </w:tcBorders>
            <w:shd w:val="clear" w:color="auto" w:fill="auto"/>
            <w:vAlign w:val="center"/>
          </w:tcPr>
          <w:p w14:paraId="259F085B">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合计</w:t>
            </w:r>
          </w:p>
        </w:tc>
        <w:tc>
          <w:tcPr>
            <w:tcW w:w="846" w:type="dxa"/>
            <w:tcBorders>
              <w:top w:val="nil"/>
              <w:left w:val="nil"/>
              <w:bottom w:val="single" w:color="auto" w:sz="8" w:space="0"/>
              <w:right w:val="single" w:color="auto" w:sz="8" w:space="0"/>
            </w:tcBorders>
            <w:shd w:val="clear" w:color="auto" w:fill="auto"/>
            <w:vAlign w:val="center"/>
          </w:tcPr>
          <w:p w14:paraId="351BA64E">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100</w:t>
            </w:r>
          </w:p>
        </w:tc>
        <w:tc>
          <w:tcPr>
            <w:tcW w:w="6287" w:type="dxa"/>
            <w:tcBorders>
              <w:top w:val="nil"/>
              <w:left w:val="nil"/>
              <w:bottom w:val="single" w:color="auto" w:sz="8" w:space="0"/>
              <w:right w:val="single" w:color="auto" w:sz="8" w:space="0"/>
            </w:tcBorders>
            <w:shd w:val="clear" w:color="auto" w:fill="auto"/>
            <w:vAlign w:val="center"/>
          </w:tcPr>
          <w:p w14:paraId="4F4EFEAB">
            <w:pPr>
              <w:widowControl/>
              <w:jc w:val="left"/>
              <w:rPr>
                <w:rFonts w:ascii="Times New Roman" w:hAnsi="Times New Roman" w:eastAsia="宋体" w:cs="Times New Roman"/>
                <w:color w:val="000000"/>
                <w:kern w:val="0"/>
                <w:sz w:val="24"/>
                <w:szCs w:val="24"/>
              </w:rPr>
            </w:pPr>
          </w:p>
        </w:tc>
        <w:tc>
          <w:tcPr>
            <w:tcW w:w="722" w:type="dxa"/>
            <w:tcBorders>
              <w:top w:val="nil"/>
              <w:left w:val="nil"/>
              <w:bottom w:val="single" w:color="auto" w:sz="8" w:space="0"/>
              <w:right w:val="single" w:color="auto" w:sz="8" w:space="0"/>
            </w:tcBorders>
            <w:shd w:val="clear" w:color="auto" w:fill="auto"/>
            <w:vAlign w:val="center"/>
          </w:tcPr>
          <w:p w14:paraId="764C47CF">
            <w:pPr>
              <w:widowControl/>
              <w:jc w:val="left"/>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94.1</w:t>
            </w:r>
          </w:p>
        </w:tc>
      </w:tr>
    </w:tbl>
    <w:p w14:paraId="6A4C1E8E">
      <w:pPr>
        <w:spacing w:line="360" w:lineRule="auto"/>
        <w:ind w:firstLine="560" w:firstLineChars="200"/>
        <w:rPr>
          <w:rFonts w:ascii="宋体" w:hAnsi="宋体" w:eastAsia="宋体"/>
          <w:sz w:val="28"/>
          <w:szCs w:val="28"/>
        </w:rPr>
      </w:pPr>
    </w:p>
    <w:p w14:paraId="148B6163">
      <w:pPr>
        <w:spacing w:line="360" w:lineRule="auto"/>
        <w:ind w:firstLine="560" w:firstLineChars="200"/>
        <w:rPr>
          <w:rFonts w:ascii="宋体" w:hAnsi="宋体" w:eastAsia="宋体"/>
          <w:sz w:val="28"/>
          <w:szCs w:val="28"/>
        </w:rPr>
      </w:pPr>
    </w:p>
    <w:p w14:paraId="0F5FB850">
      <w:pPr>
        <w:spacing w:line="360" w:lineRule="auto"/>
        <w:rPr>
          <w:rFonts w:ascii="宋体" w:hAnsi="宋体" w:eastAsia="宋体" w:cstheme="majorBidi"/>
          <w:b/>
          <w:bCs/>
          <w:sz w:val="28"/>
          <w:szCs w:val="28"/>
        </w:rPr>
        <w:sectPr>
          <w:pgSz w:w="16838" w:h="11906" w:orient="landscape"/>
          <w:pgMar w:top="1797" w:right="1440" w:bottom="1797" w:left="1440" w:header="851" w:footer="992" w:gutter="0"/>
          <w:cols w:space="425" w:num="1"/>
          <w:docGrid w:type="linesAndChars" w:linePitch="312" w:charSpace="0"/>
        </w:sectPr>
      </w:pPr>
    </w:p>
    <w:p w14:paraId="0B8E968D">
      <w:pPr>
        <w:spacing w:line="360" w:lineRule="auto"/>
        <w:ind w:firstLine="560" w:firstLineChars="200"/>
        <w:rPr>
          <w:rFonts w:ascii="宋体" w:hAnsi="宋体" w:eastAsia="宋体" w:cstheme="majorBidi"/>
          <w:b/>
          <w:bCs/>
          <w:sz w:val="28"/>
          <w:szCs w:val="28"/>
        </w:rPr>
      </w:pPr>
      <w:r>
        <w:rPr>
          <w:rFonts w:hint="eastAsia" w:ascii="宋体" w:hAnsi="宋体" w:eastAsia="宋体" w:cstheme="majorBidi"/>
          <w:b/>
          <w:bCs/>
          <w:sz w:val="28"/>
          <w:szCs w:val="28"/>
        </w:rPr>
        <w:t>附表三                                       支 出 明 细 表</w:t>
      </w:r>
    </w:p>
    <w:p w14:paraId="0F4B1909">
      <w:pPr>
        <w:spacing w:line="360" w:lineRule="auto"/>
        <w:ind w:right="560"/>
        <w:jc w:val="right"/>
        <w:rPr>
          <w:rFonts w:ascii="宋体" w:hAnsi="宋体" w:eastAsia="宋体"/>
          <w:sz w:val="24"/>
          <w:szCs w:val="24"/>
        </w:rPr>
      </w:pPr>
      <w:r>
        <w:rPr>
          <w:rFonts w:hint="eastAsia" w:ascii="宋体" w:hAnsi="宋体" w:eastAsia="宋体"/>
          <w:sz w:val="24"/>
          <w:szCs w:val="24"/>
        </w:rPr>
        <w:t>单位：万元</w:t>
      </w:r>
    </w:p>
    <w:tbl>
      <w:tblPr>
        <w:tblStyle w:val="17"/>
        <w:tblW w:w="14084" w:type="dxa"/>
        <w:tblInd w:w="93" w:type="dxa"/>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175"/>
        <w:gridCol w:w="2384"/>
        <w:gridCol w:w="1381"/>
        <w:gridCol w:w="1596"/>
        <w:gridCol w:w="1451"/>
        <w:gridCol w:w="1526"/>
        <w:gridCol w:w="1524"/>
        <w:gridCol w:w="1523"/>
        <w:gridCol w:w="1524"/>
      </w:tblGrid>
      <w:tr w14:paraId="76A973F9">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blHeader/>
        </w:trPr>
        <w:tc>
          <w:tcPr>
            <w:tcW w:w="1175" w:type="dxa"/>
            <w:vMerge w:val="restart"/>
            <w:shd w:val="clear" w:color="000000" w:fill="FFFFFF"/>
            <w:vAlign w:val="center"/>
          </w:tcPr>
          <w:p w14:paraId="52236206">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项目</w:t>
            </w:r>
          </w:p>
        </w:tc>
        <w:tc>
          <w:tcPr>
            <w:tcW w:w="2384" w:type="dxa"/>
            <w:vMerge w:val="restart"/>
            <w:shd w:val="clear" w:color="000000" w:fill="FFFFFF"/>
            <w:vAlign w:val="center"/>
          </w:tcPr>
          <w:p w14:paraId="414BB57A">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支出功能分类</w:t>
            </w:r>
          </w:p>
        </w:tc>
        <w:tc>
          <w:tcPr>
            <w:tcW w:w="2977" w:type="dxa"/>
            <w:gridSpan w:val="2"/>
            <w:shd w:val="clear" w:color="000000" w:fill="FFFFFF"/>
            <w:vAlign w:val="center"/>
          </w:tcPr>
          <w:p w14:paraId="59D27D49">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基本支出2019</w:t>
            </w:r>
          </w:p>
        </w:tc>
        <w:tc>
          <w:tcPr>
            <w:tcW w:w="2977" w:type="dxa"/>
            <w:gridSpan w:val="2"/>
            <w:shd w:val="clear" w:color="000000" w:fill="FFFFFF"/>
            <w:vAlign w:val="center"/>
          </w:tcPr>
          <w:p w14:paraId="30F5BD37">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项目支出2019</w:t>
            </w:r>
          </w:p>
        </w:tc>
        <w:tc>
          <w:tcPr>
            <w:tcW w:w="4571" w:type="dxa"/>
            <w:gridSpan w:val="3"/>
            <w:shd w:val="clear" w:color="000000" w:fill="FFFFFF"/>
            <w:vAlign w:val="center"/>
          </w:tcPr>
          <w:p w14:paraId="4DB766FF">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合计</w:t>
            </w:r>
          </w:p>
        </w:tc>
      </w:tr>
      <w:tr w14:paraId="08215ADA">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blHeader/>
        </w:trPr>
        <w:tc>
          <w:tcPr>
            <w:tcW w:w="1175" w:type="dxa"/>
            <w:vMerge w:val="continue"/>
            <w:vAlign w:val="center"/>
          </w:tcPr>
          <w:p w14:paraId="0FDB5436">
            <w:pPr>
              <w:widowControl/>
              <w:jc w:val="left"/>
              <w:rPr>
                <w:rFonts w:ascii="宋体" w:hAnsi="宋体" w:eastAsia="宋体" w:cs="Tahoma"/>
                <w:color w:val="000000"/>
                <w:kern w:val="0"/>
                <w:sz w:val="20"/>
                <w:szCs w:val="20"/>
              </w:rPr>
            </w:pPr>
          </w:p>
        </w:tc>
        <w:tc>
          <w:tcPr>
            <w:tcW w:w="2384" w:type="dxa"/>
            <w:vMerge w:val="continue"/>
            <w:vAlign w:val="center"/>
          </w:tcPr>
          <w:p w14:paraId="309535A3">
            <w:pPr>
              <w:widowControl/>
              <w:jc w:val="left"/>
              <w:rPr>
                <w:rFonts w:ascii="宋体" w:hAnsi="宋体" w:eastAsia="宋体" w:cs="Tahoma"/>
                <w:color w:val="000000"/>
                <w:kern w:val="0"/>
                <w:sz w:val="20"/>
                <w:szCs w:val="20"/>
              </w:rPr>
            </w:pPr>
          </w:p>
        </w:tc>
        <w:tc>
          <w:tcPr>
            <w:tcW w:w="1381" w:type="dxa"/>
            <w:shd w:val="clear" w:color="000000" w:fill="FFFFFF"/>
            <w:vAlign w:val="center"/>
          </w:tcPr>
          <w:p w14:paraId="494688FC">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年初预算</w:t>
            </w:r>
          </w:p>
        </w:tc>
        <w:tc>
          <w:tcPr>
            <w:tcW w:w="1596" w:type="dxa"/>
            <w:shd w:val="clear" w:color="000000" w:fill="FFFFFF"/>
            <w:vAlign w:val="center"/>
          </w:tcPr>
          <w:p w14:paraId="11912342">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年终决算</w:t>
            </w:r>
          </w:p>
        </w:tc>
        <w:tc>
          <w:tcPr>
            <w:tcW w:w="1451" w:type="dxa"/>
            <w:shd w:val="clear" w:color="000000" w:fill="FFFFFF"/>
            <w:vAlign w:val="center"/>
          </w:tcPr>
          <w:p w14:paraId="7CE3E632">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年初预算</w:t>
            </w:r>
          </w:p>
        </w:tc>
        <w:tc>
          <w:tcPr>
            <w:tcW w:w="1526" w:type="dxa"/>
            <w:shd w:val="clear" w:color="000000" w:fill="FFFFFF"/>
            <w:vAlign w:val="center"/>
          </w:tcPr>
          <w:p w14:paraId="0EFCE6F4">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年终决算</w:t>
            </w:r>
          </w:p>
        </w:tc>
        <w:tc>
          <w:tcPr>
            <w:tcW w:w="1524" w:type="dxa"/>
            <w:shd w:val="clear" w:color="000000" w:fill="FFFFFF"/>
            <w:vAlign w:val="center"/>
          </w:tcPr>
          <w:p w14:paraId="149244A4">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年初预算</w:t>
            </w:r>
          </w:p>
        </w:tc>
        <w:tc>
          <w:tcPr>
            <w:tcW w:w="1523" w:type="dxa"/>
            <w:shd w:val="clear" w:color="000000" w:fill="FFFFFF"/>
            <w:vAlign w:val="center"/>
          </w:tcPr>
          <w:p w14:paraId="05364D2A">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年终决算</w:t>
            </w:r>
          </w:p>
        </w:tc>
        <w:tc>
          <w:tcPr>
            <w:tcW w:w="1524" w:type="dxa"/>
            <w:shd w:val="clear" w:color="000000" w:fill="FFFFFF"/>
            <w:vAlign w:val="center"/>
          </w:tcPr>
          <w:p w14:paraId="013EBA07">
            <w:pPr>
              <w:widowControl/>
              <w:rPr>
                <w:rFonts w:ascii="宋体" w:hAnsi="宋体" w:eastAsia="宋体" w:cs="Tahoma"/>
                <w:color w:val="000000"/>
                <w:kern w:val="0"/>
                <w:sz w:val="20"/>
                <w:szCs w:val="20"/>
              </w:rPr>
            </w:pPr>
            <w:r>
              <w:rPr>
                <w:rFonts w:hint="eastAsia" w:ascii="宋体" w:hAnsi="宋体" w:eastAsia="宋体" w:cs="Tahoma"/>
                <w:color w:val="000000"/>
                <w:kern w:val="0"/>
                <w:sz w:val="20"/>
                <w:szCs w:val="20"/>
              </w:rPr>
              <w:t>预决算对比（超支为正）</w:t>
            </w:r>
          </w:p>
        </w:tc>
      </w:tr>
      <w:tr w14:paraId="6820D661">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3559" w:type="dxa"/>
            <w:gridSpan w:val="2"/>
            <w:shd w:val="clear" w:color="000000" w:fill="FFFFFF"/>
            <w:vAlign w:val="center"/>
          </w:tcPr>
          <w:p w14:paraId="4A67C762">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合计</w:t>
            </w:r>
          </w:p>
        </w:tc>
        <w:tc>
          <w:tcPr>
            <w:tcW w:w="1381" w:type="dxa"/>
            <w:shd w:val="clear" w:color="000000" w:fill="FFFFFF"/>
            <w:vAlign w:val="center"/>
          </w:tcPr>
          <w:p w14:paraId="453D0B1F">
            <w:pPr>
              <w:widowControl/>
              <w:ind w:firstLine="420" w:firstLineChars="200"/>
              <w:jc w:val="right"/>
              <w:rPr>
                <w:rFonts w:ascii="Arial Narrow" w:hAnsi="Arial Narrow" w:eastAsia="宋体" w:cs="Tahoma"/>
                <w:color w:val="000000"/>
                <w:kern w:val="0"/>
                <w:szCs w:val="21"/>
              </w:rPr>
            </w:pPr>
            <w:r>
              <w:rPr>
                <w:rFonts w:ascii="Arial Narrow" w:hAnsi="Arial Narrow" w:eastAsia="宋体" w:cs="Tahoma"/>
                <w:color w:val="000000"/>
                <w:kern w:val="0"/>
                <w:szCs w:val="21"/>
              </w:rPr>
              <w:t xml:space="preserve">731.01 </w:t>
            </w:r>
          </w:p>
        </w:tc>
        <w:tc>
          <w:tcPr>
            <w:tcW w:w="1596" w:type="dxa"/>
            <w:shd w:val="clear" w:color="000000" w:fill="FFFFFF"/>
            <w:vAlign w:val="center"/>
          </w:tcPr>
          <w:p w14:paraId="061638A4">
            <w:pPr>
              <w:widowControl/>
              <w:ind w:firstLine="420" w:firstLineChars="200"/>
              <w:jc w:val="right"/>
              <w:rPr>
                <w:rFonts w:ascii="Arial Narrow" w:hAnsi="Arial Narrow" w:eastAsia="宋体" w:cs="Tahoma"/>
                <w:color w:val="000000"/>
                <w:kern w:val="0"/>
                <w:szCs w:val="21"/>
              </w:rPr>
            </w:pPr>
            <w:r>
              <w:rPr>
                <w:rFonts w:ascii="Arial Narrow" w:hAnsi="Arial Narrow" w:eastAsia="宋体" w:cs="Tahoma"/>
                <w:color w:val="000000"/>
                <w:kern w:val="0"/>
                <w:szCs w:val="21"/>
              </w:rPr>
              <w:t xml:space="preserve">   876.35 </w:t>
            </w:r>
          </w:p>
        </w:tc>
        <w:tc>
          <w:tcPr>
            <w:tcW w:w="1451" w:type="dxa"/>
            <w:shd w:val="clear" w:color="000000" w:fill="FFFFFF"/>
            <w:vAlign w:val="center"/>
          </w:tcPr>
          <w:p w14:paraId="7D4ECBD1">
            <w:pPr>
              <w:widowControl/>
              <w:ind w:firstLine="420" w:firstLineChars="200"/>
              <w:jc w:val="right"/>
              <w:rPr>
                <w:rFonts w:ascii="Arial Narrow" w:hAnsi="Arial Narrow" w:eastAsia="宋体" w:cs="Tahoma"/>
                <w:color w:val="000000"/>
                <w:kern w:val="0"/>
                <w:szCs w:val="21"/>
              </w:rPr>
            </w:pPr>
            <w:r>
              <w:rPr>
                <w:rFonts w:ascii="Arial Narrow" w:hAnsi="Arial Narrow" w:eastAsia="宋体" w:cs="Tahoma"/>
                <w:color w:val="000000"/>
                <w:kern w:val="0"/>
                <w:szCs w:val="21"/>
              </w:rPr>
              <w:t xml:space="preserve">308.75 </w:t>
            </w:r>
          </w:p>
        </w:tc>
        <w:tc>
          <w:tcPr>
            <w:tcW w:w="1526" w:type="dxa"/>
            <w:shd w:val="clear" w:color="000000" w:fill="FFFFFF"/>
            <w:vAlign w:val="center"/>
          </w:tcPr>
          <w:p w14:paraId="20C04E4E">
            <w:pPr>
              <w:widowControl/>
              <w:ind w:firstLine="420" w:firstLineChars="200"/>
              <w:jc w:val="right"/>
              <w:rPr>
                <w:rFonts w:ascii="Arial Narrow" w:hAnsi="Arial Narrow" w:eastAsia="宋体" w:cs="Tahoma"/>
                <w:color w:val="000000"/>
                <w:kern w:val="0"/>
                <w:szCs w:val="21"/>
              </w:rPr>
            </w:pPr>
            <w:r>
              <w:rPr>
                <w:rFonts w:ascii="Arial Narrow" w:hAnsi="Arial Narrow" w:eastAsia="宋体" w:cs="Tahoma"/>
                <w:color w:val="000000"/>
                <w:kern w:val="0"/>
                <w:szCs w:val="21"/>
              </w:rPr>
              <w:t xml:space="preserve">280.04 </w:t>
            </w:r>
          </w:p>
        </w:tc>
        <w:tc>
          <w:tcPr>
            <w:tcW w:w="1524" w:type="dxa"/>
            <w:shd w:val="clear" w:color="000000" w:fill="FFFFFF"/>
            <w:vAlign w:val="center"/>
          </w:tcPr>
          <w:p w14:paraId="07E729AE">
            <w:pPr>
              <w:widowControl/>
              <w:ind w:firstLine="420" w:firstLineChars="200"/>
              <w:jc w:val="right"/>
              <w:rPr>
                <w:rFonts w:ascii="Arial Narrow" w:hAnsi="Arial Narrow" w:eastAsia="宋体" w:cs="Tahoma"/>
                <w:color w:val="000000"/>
                <w:kern w:val="0"/>
                <w:szCs w:val="21"/>
              </w:rPr>
            </w:pPr>
            <w:r>
              <w:rPr>
                <w:rFonts w:ascii="Arial Narrow" w:hAnsi="Arial Narrow" w:eastAsia="宋体" w:cs="Tahoma"/>
                <w:color w:val="000000"/>
                <w:kern w:val="0"/>
                <w:szCs w:val="21"/>
              </w:rPr>
              <w:t xml:space="preserve">1,039.76 </w:t>
            </w:r>
          </w:p>
        </w:tc>
        <w:tc>
          <w:tcPr>
            <w:tcW w:w="1523" w:type="dxa"/>
            <w:shd w:val="clear" w:color="000000" w:fill="FFFFFF"/>
            <w:vAlign w:val="center"/>
          </w:tcPr>
          <w:p w14:paraId="6380E59D">
            <w:pPr>
              <w:widowControl/>
              <w:ind w:firstLine="420" w:firstLineChars="200"/>
              <w:jc w:val="right"/>
              <w:rPr>
                <w:rFonts w:ascii="Arial Narrow" w:hAnsi="Arial Narrow" w:eastAsia="宋体" w:cs="Tahoma"/>
                <w:color w:val="000000"/>
                <w:kern w:val="0"/>
                <w:szCs w:val="21"/>
              </w:rPr>
            </w:pPr>
            <w:r>
              <w:rPr>
                <w:rFonts w:ascii="Arial Narrow" w:hAnsi="Arial Narrow" w:eastAsia="宋体" w:cs="Tahoma"/>
                <w:color w:val="000000"/>
                <w:kern w:val="0"/>
                <w:szCs w:val="21"/>
              </w:rPr>
              <w:t xml:space="preserve">1,156.39 </w:t>
            </w:r>
          </w:p>
        </w:tc>
        <w:tc>
          <w:tcPr>
            <w:tcW w:w="1524" w:type="dxa"/>
            <w:shd w:val="clear" w:color="000000" w:fill="FFFFFF"/>
            <w:vAlign w:val="center"/>
          </w:tcPr>
          <w:p w14:paraId="383B816C">
            <w:pPr>
              <w:widowControl/>
              <w:ind w:firstLine="420" w:firstLineChars="200"/>
              <w:jc w:val="right"/>
              <w:rPr>
                <w:rFonts w:ascii="Arial Narrow" w:hAnsi="Arial Narrow" w:eastAsia="宋体" w:cs="Tahoma"/>
                <w:color w:val="000000"/>
                <w:kern w:val="0"/>
                <w:szCs w:val="21"/>
              </w:rPr>
            </w:pPr>
            <w:r>
              <w:rPr>
                <w:rFonts w:ascii="Arial Narrow" w:hAnsi="Arial Narrow" w:eastAsia="宋体" w:cs="Tahoma"/>
                <w:color w:val="000000"/>
                <w:kern w:val="0"/>
                <w:szCs w:val="21"/>
              </w:rPr>
              <w:t xml:space="preserve">116.63 </w:t>
            </w:r>
          </w:p>
        </w:tc>
      </w:tr>
      <w:tr w14:paraId="4933A677">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restart"/>
            <w:shd w:val="clear" w:color="000000" w:fill="FFFFFF"/>
            <w:vAlign w:val="center"/>
          </w:tcPr>
          <w:p w14:paraId="1D34701D">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工资福利支出</w:t>
            </w:r>
          </w:p>
        </w:tc>
        <w:tc>
          <w:tcPr>
            <w:tcW w:w="2384" w:type="dxa"/>
            <w:shd w:val="clear" w:color="000000" w:fill="FFFFFF"/>
            <w:vAlign w:val="center"/>
          </w:tcPr>
          <w:p w14:paraId="7D98BA7B">
            <w:pPr>
              <w:widowControl/>
              <w:jc w:val="left"/>
              <w:rPr>
                <w:rFonts w:ascii="宋体" w:hAnsi="宋体" w:eastAsia="宋体" w:cs="Tahoma"/>
                <w:color w:val="000000"/>
                <w:kern w:val="0"/>
                <w:sz w:val="24"/>
                <w:szCs w:val="24"/>
              </w:rPr>
            </w:pPr>
            <w:r>
              <w:rPr>
                <w:rFonts w:hint="eastAsia" w:ascii="宋体" w:hAnsi="宋体" w:eastAsia="宋体" w:cs="Tahoma"/>
                <w:color w:val="000000"/>
                <w:kern w:val="0"/>
                <w:sz w:val="24"/>
                <w:szCs w:val="24"/>
              </w:rPr>
              <w:t>小计</w:t>
            </w:r>
          </w:p>
        </w:tc>
        <w:tc>
          <w:tcPr>
            <w:tcW w:w="1381" w:type="dxa"/>
            <w:shd w:val="clear" w:color="000000" w:fill="FFFFFF"/>
            <w:vAlign w:val="center"/>
          </w:tcPr>
          <w:p w14:paraId="56152407">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602.48 </w:t>
            </w:r>
          </w:p>
        </w:tc>
        <w:tc>
          <w:tcPr>
            <w:tcW w:w="1596" w:type="dxa"/>
            <w:shd w:val="clear" w:color="000000" w:fill="FFFFFF"/>
            <w:vAlign w:val="center"/>
          </w:tcPr>
          <w:p w14:paraId="191AEDD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750.45 </w:t>
            </w:r>
          </w:p>
        </w:tc>
        <w:tc>
          <w:tcPr>
            <w:tcW w:w="1451" w:type="dxa"/>
            <w:shd w:val="clear" w:color="000000" w:fill="FFFFFF"/>
            <w:vAlign w:val="center"/>
          </w:tcPr>
          <w:p w14:paraId="5C1D0021">
            <w:pPr>
              <w:widowControl/>
              <w:ind w:right="420" w:firstLine="480" w:firstLineChars="200"/>
              <w:jc w:val="right"/>
              <w:rPr>
                <w:rFonts w:ascii="Arial Narrow" w:hAnsi="Arial Narrow" w:eastAsia="宋体" w:cs="Tahoma"/>
                <w:color w:val="000000"/>
                <w:kern w:val="0"/>
                <w:sz w:val="24"/>
                <w:szCs w:val="24"/>
              </w:rPr>
            </w:pPr>
          </w:p>
        </w:tc>
        <w:tc>
          <w:tcPr>
            <w:tcW w:w="1526" w:type="dxa"/>
            <w:shd w:val="clear" w:color="000000" w:fill="FFFFFF"/>
            <w:vAlign w:val="center"/>
          </w:tcPr>
          <w:p w14:paraId="42451E1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0.20 </w:t>
            </w:r>
          </w:p>
        </w:tc>
        <w:tc>
          <w:tcPr>
            <w:tcW w:w="1524" w:type="dxa"/>
            <w:shd w:val="clear" w:color="000000" w:fill="FFFFFF"/>
            <w:vAlign w:val="center"/>
          </w:tcPr>
          <w:p w14:paraId="042DBDB4">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602.48 </w:t>
            </w:r>
          </w:p>
        </w:tc>
        <w:tc>
          <w:tcPr>
            <w:tcW w:w="1523" w:type="dxa"/>
            <w:shd w:val="clear" w:color="000000" w:fill="FFFFFF"/>
            <w:vAlign w:val="center"/>
          </w:tcPr>
          <w:p w14:paraId="2AFCB1F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750.65 </w:t>
            </w:r>
          </w:p>
        </w:tc>
        <w:tc>
          <w:tcPr>
            <w:tcW w:w="1524" w:type="dxa"/>
            <w:shd w:val="clear" w:color="000000" w:fill="FFFFFF"/>
            <w:vAlign w:val="center"/>
          </w:tcPr>
          <w:p w14:paraId="343DB5E7">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148.17 </w:t>
            </w:r>
          </w:p>
        </w:tc>
      </w:tr>
      <w:tr w14:paraId="17446F88">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474F5104">
            <w:pPr>
              <w:widowControl/>
              <w:jc w:val="left"/>
              <w:rPr>
                <w:rFonts w:ascii="宋体" w:hAnsi="宋体" w:eastAsia="宋体" w:cs="Tahoma"/>
                <w:color w:val="000000"/>
                <w:kern w:val="0"/>
                <w:sz w:val="20"/>
                <w:szCs w:val="20"/>
              </w:rPr>
            </w:pPr>
          </w:p>
        </w:tc>
        <w:tc>
          <w:tcPr>
            <w:tcW w:w="2384" w:type="dxa"/>
            <w:shd w:val="clear" w:color="000000" w:fill="FFFFFF"/>
            <w:vAlign w:val="center"/>
          </w:tcPr>
          <w:p w14:paraId="23CE7EBD">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基本工资</w:t>
            </w:r>
          </w:p>
        </w:tc>
        <w:tc>
          <w:tcPr>
            <w:tcW w:w="1381" w:type="dxa"/>
            <w:shd w:val="clear" w:color="000000" w:fill="FFFFFF"/>
            <w:vAlign w:val="center"/>
          </w:tcPr>
          <w:p w14:paraId="150031D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112.57 </w:t>
            </w:r>
          </w:p>
        </w:tc>
        <w:tc>
          <w:tcPr>
            <w:tcW w:w="1596" w:type="dxa"/>
            <w:shd w:val="clear" w:color="000000" w:fill="FFFFFF"/>
            <w:vAlign w:val="center"/>
          </w:tcPr>
          <w:p w14:paraId="3A403E0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126.33 </w:t>
            </w:r>
          </w:p>
        </w:tc>
        <w:tc>
          <w:tcPr>
            <w:tcW w:w="1451" w:type="dxa"/>
            <w:shd w:val="clear" w:color="000000" w:fill="FFFFFF"/>
            <w:vAlign w:val="center"/>
          </w:tcPr>
          <w:p w14:paraId="036657FC">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577C6924">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4EB7021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112.57 </w:t>
            </w:r>
          </w:p>
        </w:tc>
        <w:tc>
          <w:tcPr>
            <w:tcW w:w="1523" w:type="dxa"/>
            <w:shd w:val="clear" w:color="000000" w:fill="FFFFFF"/>
            <w:vAlign w:val="center"/>
          </w:tcPr>
          <w:p w14:paraId="61C5FCA1">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126.33 </w:t>
            </w:r>
          </w:p>
        </w:tc>
        <w:tc>
          <w:tcPr>
            <w:tcW w:w="1524" w:type="dxa"/>
            <w:shd w:val="clear" w:color="000000" w:fill="FFFFFF"/>
            <w:vAlign w:val="center"/>
          </w:tcPr>
          <w:p w14:paraId="2DADF0D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13.76 </w:t>
            </w:r>
          </w:p>
        </w:tc>
      </w:tr>
      <w:tr w14:paraId="78419360">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1BFB85A5">
            <w:pPr>
              <w:widowControl/>
              <w:jc w:val="left"/>
              <w:rPr>
                <w:rFonts w:ascii="宋体" w:hAnsi="宋体" w:eastAsia="宋体" w:cs="Tahoma"/>
                <w:color w:val="000000"/>
                <w:kern w:val="0"/>
                <w:sz w:val="20"/>
                <w:szCs w:val="20"/>
              </w:rPr>
            </w:pPr>
          </w:p>
        </w:tc>
        <w:tc>
          <w:tcPr>
            <w:tcW w:w="2384" w:type="dxa"/>
            <w:shd w:val="clear" w:color="000000" w:fill="FFFFFF"/>
            <w:vAlign w:val="center"/>
          </w:tcPr>
          <w:p w14:paraId="4136835B">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津贴补贴</w:t>
            </w:r>
          </w:p>
        </w:tc>
        <w:tc>
          <w:tcPr>
            <w:tcW w:w="1381" w:type="dxa"/>
            <w:shd w:val="clear" w:color="000000" w:fill="FFFFFF"/>
            <w:vAlign w:val="center"/>
          </w:tcPr>
          <w:p w14:paraId="2E2560C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120.36 </w:t>
            </w:r>
          </w:p>
        </w:tc>
        <w:tc>
          <w:tcPr>
            <w:tcW w:w="1596" w:type="dxa"/>
            <w:shd w:val="clear" w:color="000000" w:fill="FFFFFF"/>
            <w:vAlign w:val="center"/>
          </w:tcPr>
          <w:p w14:paraId="029EB6F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119.29 </w:t>
            </w:r>
          </w:p>
        </w:tc>
        <w:tc>
          <w:tcPr>
            <w:tcW w:w="1451" w:type="dxa"/>
            <w:shd w:val="clear" w:color="000000" w:fill="FFFFFF"/>
            <w:vAlign w:val="center"/>
          </w:tcPr>
          <w:p w14:paraId="7A13F2CB">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73433837">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6239E51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120.36 </w:t>
            </w:r>
          </w:p>
        </w:tc>
        <w:tc>
          <w:tcPr>
            <w:tcW w:w="1523" w:type="dxa"/>
            <w:shd w:val="clear" w:color="000000" w:fill="FFFFFF"/>
            <w:vAlign w:val="center"/>
          </w:tcPr>
          <w:p w14:paraId="31AB2C9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119.29 </w:t>
            </w:r>
          </w:p>
        </w:tc>
        <w:tc>
          <w:tcPr>
            <w:tcW w:w="1524" w:type="dxa"/>
            <w:shd w:val="clear" w:color="000000" w:fill="FFFFFF"/>
            <w:vAlign w:val="center"/>
          </w:tcPr>
          <w:p w14:paraId="2DAE296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-1.07 </w:t>
            </w:r>
          </w:p>
        </w:tc>
      </w:tr>
      <w:tr w14:paraId="0BAE7F13">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0B5E5B04">
            <w:pPr>
              <w:widowControl/>
              <w:jc w:val="left"/>
              <w:rPr>
                <w:rFonts w:ascii="宋体" w:hAnsi="宋体" w:eastAsia="宋体" w:cs="Tahoma"/>
                <w:color w:val="000000"/>
                <w:kern w:val="0"/>
                <w:sz w:val="20"/>
                <w:szCs w:val="20"/>
              </w:rPr>
            </w:pPr>
          </w:p>
        </w:tc>
        <w:tc>
          <w:tcPr>
            <w:tcW w:w="2384" w:type="dxa"/>
            <w:shd w:val="clear" w:color="000000" w:fill="FFFFFF"/>
            <w:vAlign w:val="center"/>
          </w:tcPr>
          <w:p w14:paraId="36F01A8E">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奖金</w:t>
            </w:r>
          </w:p>
        </w:tc>
        <w:tc>
          <w:tcPr>
            <w:tcW w:w="1381" w:type="dxa"/>
            <w:shd w:val="clear" w:color="000000" w:fill="FFFFFF"/>
            <w:vAlign w:val="center"/>
          </w:tcPr>
          <w:p w14:paraId="061004AA">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91.10 </w:t>
            </w:r>
          </w:p>
        </w:tc>
        <w:tc>
          <w:tcPr>
            <w:tcW w:w="1596" w:type="dxa"/>
            <w:shd w:val="clear" w:color="000000" w:fill="FFFFFF"/>
            <w:vAlign w:val="center"/>
          </w:tcPr>
          <w:p w14:paraId="4BB9730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248.29 </w:t>
            </w:r>
          </w:p>
        </w:tc>
        <w:tc>
          <w:tcPr>
            <w:tcW w:w="1451" w:type="dxa"/>
            <w:shd w:val="clear" w:color="000000" w:fill="FFFFFF"/>
            <w:vAlign w:val="center"/>
          </w:tcPr>
          <w:p w14:paraId="0F0872ED">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668C6AAD">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3AEB71B9">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91.10 </w:t>
            </w:r>
          </w:p>
        </w:tc>
        <w:tc>
          <w:tcPr>
            <w:tcW w:w="1523" w:type="dxa"/>
            <w:shd w:val="clear" w:color="000000" w:fill="FFFFFF"/>
            <w:vAlign w:val="center"/>
          </w:tcPr>
          <w:p w14:paraId="7F13530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248.29 </w:t>
            </w:r>
          </w:p>
        </w:tc>
        <w:tc>
          <w:tcPr>
            <w:tcW w:w="1524" w:type="dxa"/>
            <w:shd w:val="clear" w:color="000000" w:fill="FFFFFF"/>
            <w:vAlign w:val="center"/>
          </w:tcPr>
          <w:p w14:paraId="19C10F1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157.19 </w:t>
            </w:r>
          </w:p>
        </w:tc>
      </w:tr>
      <w:tr w14:paraId="5CC0A8CD">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2F24F6D8">
            <w:pPr>
              <w:widowControl/>
              <w:jc w:val="left"/>
              <w:rPr>
                <w:rFonts w:ascii="宋体" w:hAnsi="宋体" w:eastAsia="宋体" w:cs="Tahoma"/>
                <w:color w:val="000000"/>
                <w:kern w:val="0"/>
                <w:sz w:val="20"/>
                <w:szCs w:val="20"/>
              </w:rPr>
            </w:pPr>
          </w:p>
        </w:tc>
        <w:tc>
          <w:tcPr>
            <w:tcW w:w="2384" w:type="dxa"/>
            <w:shd w:val="clear" w:color="000000" w:fill="FFFFFF"/>
            <w:vAlign w:val="center"/>
          </w:tcPr>
          <w:p w14:paraId="13B5E782">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机关事业单位基本养老保险缴费</w:t>
            </w:r>
          </w:p>
        </w:tc>
        <w:tc>
          <w:tcPr>
            <w:tcW w:w="1381" w:type="dxa"/>
            <w:shd w:val="clear" w:color="000000" w:fill="FFFFFF"/>
            <w:vAlign w:val="center"/>
          </w:tcPr>
          <w:p w14:paraId="65EB0FA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48.03 </w:t>
            </w:r>
          </w:p>
        </w:tc>
        <w:tc>
          <w:tcPr>
            <w:tcW w:w="1596" w:type="dxa"/>
            <w:shd w:val="clear" w:color="000000" w:fill="FFFFFF"/>
            <w:vAlign w:val="center"/>
          </w:tcPr>
          <w:p w14:paraId="6EB06877">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79.29 </w:t>
            </w:r>
          </w:p>
        </w:tc>
        <w:tc>
          <w:tcPr>
            <w:tcW w:w="1451" w:type="dxa"/>
            <w:shd w:val="clear" w:color="000000" w:fill="FFFFFF"/>
            <w:vAlign w:val="center"/>
          </w:tcPr>
          <w:p w14:paraId="65EA06D3">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4C78DCAD">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72BAB15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48.03 </w:t>
            </w:r>
          </w:p>
        </w:tc>
        <w:tc>
          <w:tcPr>
            <w:tcW w:w="1523" w:type="dxa"/>
            <w:shd w:val="clear" w:color="000000" w:fill="FFFFFF"/>
            <w:vAlign w:val="center"/>
          </w:tcPr>
          <w:p w14:paraId="2EDA42B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79.29 </w:t>
            </w:r>
          </w:p>
        </w:tc>
        <w:tc>
          <w:tcPr>
            <w:tcW w:w="1524" w:type="dxa"/>
            <w:shd w:val="clear" w:color="000000" w:fill="FFFFFF"/>
            <w:vAlign w:val="center"/>
          </w:tcPr>
          <w:p w14:paraId="68592F6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31.26 </w:t>
            </w:r>
          </w:p>
        </w:tc>
      </w:tr>
      <w:tr w14:paraId="150E4023">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63A11DCA">
            <w:pPr>
              <w:widowControl/>
              <w:jc w:val="left"/>
              <w:rPr>
                <w:rFonts w:ascii="宋体" w:hAnsi="宋体" w:eastAsia="宋体" w:cs="Tahoma"/>
                <w:color w:val="000000"/>
                <w:kern w:val="0"/>
                <w:sz w:val="20"/>
                <w:szCs w:val="20"/>
              </w:rPr>
            </w:pPr>
          </w:p>
        </w:tc>
        <w:tc>
          <w:tcPr>
            <w:tcW w:w="2384" w:type="dxa"/>
            <w:shd w:val="clear" w:color="000000" w:fill="FFFFFF"/>
            <w:vAlign w:val="center"/>
          </w:tcPr>
          <w:p w14:paraId="0B12C049">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职工基本医疗保险缴费</w:t>
            </w:r>
          </w:p>
        </w:tc>
        <w:tc>
          <w:tcPr>
            <w:tcW w:w="1381" w:type="dxa"/>
            <w:shd w:val="clear" w:color="000000" w:fill="FFFFFF"/>
            <w:vAlign w:val="center"/>
          </w:tcPr>
          <w:p w14:paraId="48C9E5A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19.21 </w:t>
            </w:r>
          </w:p>
        </w:tc>
        <w:tc>
          <w:tcPr>
            <w:tcW w:w="1596" w:type="dxa"/>
            <w:shd w:val="clear" w:color="000000" w:fill="FFFFFF"/>
            <w:vAlign w:val="center"/>
          </w:tcPr>
          <w:p w14:paraId="455400C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5.75 </w:t>
            </w:r>
          </w:p>
        </w:tc>
        <w:tc>
          <w:tcPr>
            <w:tcW w:w="1451" w:type="dxa"/>
            <w:shd w:val="clear" w:color="000000" w:fill="FFFFFF"/>
            <w:vAlign w:val="center"/>
          </w:tcPr>
          <w:p w14:paraId="04B9158F">
            <w:pPr>
              <w:widowControl/>
              <w:ind w:right="105"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521D1B6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0.20 </w:t>
            </w:r>
          </w:p>
        </w:tc>
        <w:tc>
          <w:tcPr>
            <w:tcW w:w="1524" w:type="dxa"/>
            <w:shd w:val="clear" w:color="000000" w:fill="FFFFFF"/>
            <w:vAlign w:val="center"/>
          </w:tcPr>
          <w:p w14:paraId="4842009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19.21 </w:t>
            </w:r>
          </w:p>
        </w:tc>
        <w:tc>
          <w:tcPr>
            <w:tcW w:w="1523" w:type="dxa"/>
            <w:shd w:val="clear" w:color="000000" w:fill="FFFFFF"/>
            <w:vAlign w:val="center"/>
          </w:tcPr>
          <w:p w14:paraId="465A6A8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5.95 </w:t>
            </w:r>
          </w:p>
        </w:tc>
        <w:tc>
          <w:tcPr>
            <w:tcW w:w="1524" w:type="dxa"/>
            <w:shd w:val="clear" w:color="000000" w:fill="FFFFFF"/>
            <w:vAlign w:val="center"/>
          </w:tcPr>
          <w:p w14:paraId="3CF89E9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-13.26 </w:t>
            </w:r>
          </w:p>
        </w:tc>
      </w:tr>
      <w:tr w14:paraId="5A673E7C">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5CB8E05A">
            <w:pPr>
              <w:widowControl/>
              <w:jc w:val="left"/>
              <w:rPr>
                <w:rFonts w:ascii="宋体" w:hAnsi="宋体" w:eastAsia="宋体" w:cs="Tahoma"/>
                <w:color w:val="000000"/>
                <w:kern w:val="0"/>
                <w:sz w:val="20"/>
                <w:szCs w:val="20"/>
              </w:rPr>
            </w:pPr>
          </w:p>
        </w:tc>
        <w:tc>
          <w:tcPr>
            <w:tcW w:w="2384" w:type="dxa"/>
            <w:shd w:val="clear" w:color="000000" w:fill="FFFFFF"/>
            <w:vAlign w:val="center"/>
          </w:tcPr>
          <w:p w14:paraId="17EA1AAB">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公务员医疗补助缴费</w:t>
            </w:r>
          </w:p>
        </w:tc>
        <w:tc>
          <w:tcPr>
            <w:tcW w:w="1381" w:type="dxa"/>
            <w:shd w:val="clear" w:color="000000" w:fill="FFFFFF"/>
            <w:vAlign w:val="center"/>
          </w:tcPr>
          <w:p w14:paraId="5A01E97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35.28 </w:t>
            </w:r>
          </w:p>
        </w:tc>
        <w:tc>
          <w:tcPr>
            <w:tcW w:w="1596" w:type="dxa"/>
            <w:shd w:val="clear" w:color="000000" w:fill="FFFFFF"/>
            <w:vAlign w:val="center"/>
          </w:tcPr>
          <w:p w14:paraId="4106C14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21.18 </w:t>
            </w:r>
          </w:p>
        </w:tc>
        <w:tc>
          <w:tcPr>
            <w:tcW w:w="1451" w:type="dxa"/>
            <w:shd w:val="clear" w:color="000000" w:fill="FFFFFF"/>
            <w:vAlign w:val="center"/>
          </w:tcPr>
          <w:p w14:paraId="7B6925B0">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1956E06A">
            <w:pPr>
              <w:widowControl/>
              <w:ind w:right="105"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7B7A9B34">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35.28 </w:t>
            </w:r>
          </w:p>
        </w:tc>
        <w:tc>
          <w:tcPr>
            <w:tcW w:w="1523" w:type="dxa"/>
            <w:shd w:val="clear" w:color="000000" w:fill="FFFFFF"/>
            <w:vAlign w:val="center"/>
          </w:tcPr>
          <w:p w14:paraId="0779C0F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21.18 </w:t>
            </w:r>
          </w:p>
        </w:tc>
        <w:tc>
          <w:tcPr>
            <w:tcW w:w="1524" w:type="dxa"/>
            <w:shd w:val="clear" w:color="000000" w:fill="FFFFFF"/>
            <w:vAlign w:val="center"/>
          </w:tcPr>
          <w:p w14:paraId="3758E6E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-14.10 </w:t>
            </w:r>
          </w:p>
        </w:tc>
      </w:tr>
      <w:tr w14:paraId="323BD62C">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12F71BB6">
            <w:pPr>
              <w:widowControl/>
              <w:jc w:val="left"/>
              <w:rPr>
                <w:rFonts w:ascii="宋体" w:hAnsi="宋体" w:eastAsia="宋体" w:cs="Tahoma"/>
                <w:color w:val="000000"/>
                <w:kern w:val="0"/>
                <w:sz w:val="20"/>
                <w:szCs w:val="20"/>
              </w:rPr>
            </w:pPr>
          </w:p>
        </w:tc>
        <w:tc>
          <w:tcPr>
            <w:tcW w:w="2384" w:type="dxa"/>
            <w:shd w:val="clear" w:color="000000" w:fill="FFFFFF"/>
            <w:vAlign w:val="center"/>
          </w:tcPr>
          <w:p w14:paraId="0E7835A1">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其他社会保障缴费</w:t>
            </w:r>
          </w:p>
        </w:tc>
        <w:tc>
          <w:tcPr>
            <w:tcW w:w="1381" w:type="dxa"/>
            <w:shd w:val="clear" w:color="000000" w:fill="FFFFFF"/>
            <w:vAlign w:val="center"/>
          </w:tcPr>
          <w:p w14:paraId="56B2CBA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2.43 </w:t>
            </w:r>
          </w:p>
        </w:tc>
        <w:tc>
          <w:tcPr>
            <w:tcW w:w="1596" w:type="dxa"/>
            <w:shd w:val="clear" w:color="000000" w:fill="FFFFFF"/>
            <w:vAlign w:val="center"/>
          </w:tcPr>
          <w:p w14:paraId="1400BDF7">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0.09 </w:t>
            </w:r>
          </w:p>
        </w:tc>
        <w:tc>
          <w:tcPr>
            <w:tcW w:w="1451" w:type="dxa"/>
            <w:shd w:val="clear" w:color="000000" w:fill="FFFFFF"/>
            <w:vAlign w:val="center"/>
          </w:tcPr>
          <w:p w14:paraId="269D89FB">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0CF48A4B">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5F16ADCA">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2.43 </w:t>
            </w:r>
          </w:p>
        </w:tc>
        <w:tc>
          <w:tcPr>
            <w:tcW w:w="1523" w:type="dxa"/>
            <w:shd w:val="clear" w:color="000000" w:fill="FFFFFF"/>
            <w:vAlign w:val="center"/>
          </w:tcPr>
          <w:p w14:paraId="6F15D12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0.09 </w:t>
            </w:r>
          </w:p>
        </w:tc>
        <w:tc>
          <w:tcPr>
            <w:tcW w:w="1524" w:type="dxa"/>
            <w:shd w:val="clear" w:color="000000" w:fill="FFFFFF"/>
            <w:vAlign w:val="center"/>
          </w:tcPr>
          <w:p w14:paraId="7A2E0834">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-2.34 </w:t>
            </w:r>
          </w:p>
        </w:tc>
      </w:tr>
      <w:tr w14:paraId="7187D8F5">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6FE50708">
            <w:pPr>
              <w:widowControl/>
              <w:jc w:val="left"/>
              <w:rPr>
                <w:rFonts w:ascii="宋体" w:hAnsi="宋体" w:eastAsia="宋体" w:cs="Tahoma"/>
                <w:color w:val="000000"/>
                <w:kern w:val="0"/>
                <w:sz w:val="20"/>
                <w:szCs w:val="20"/>
              </w:rPr>
            </w:pPr>
          </w:p>
        </w:tc>
        <w:tc>
          <w:tcPr>
            <w:tcW w:w="2384" w:type="dxa"/>
            <w:shd w:val="clear" w:color="000000" w:fill="FFFFFF"/>
            <w:vAlign w:val="center"/>
          </w:tcPr>
          <w:p w14:paraId="5ECEEFAD">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住房公积金</w:t>
            </w:r>
          </w:p>
        </w:tc>
        <w:tc>
          <w:tcPr>
            <w:tcW w:w="1381" w:type="dxa"/>
            <w:shd w:val="clear" w:color="000000" w:fill="FFFFFF"/>
            <w:vAlign w:val="center"/>
          </w:tcPr>
          <w:p w14:paraId="5B926E5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28.82 </w:t>
            </w:r>
          </w:p>
        </w:tc>
        <w:tc>
          <w:tcPr>
            <w:tcW w:w="1596" w:type="dxa"/>
            <w:shd w:val="clear" w:color="000000" w:fill="FFFFFF"/>
            <w:vAlign w:val="center"/>
          </w:tcPr>
          <w:p w14:paraId="52B8AD7B">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66.77 </w:t>
            </w:r>
          </w:p>
        </w:tc>
        <w:tc>
          <w:tcPr>
            <w:tcW w:w="1451" w:type="dxa"/>
            <w:shd w:val="clear" w:color="000000" w:fill="FFFFFF"/>
            <w:vAlign w:val="center"/>
          </w:tcPr>
          <w:p w14:paraId="2FA1A48F">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24C66C6A">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6176CA8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28.82 </w:t>
            </w:r>
          </w:p>
        </w:tc>
        <w:tc>
          <w:tcPr>
            <w:tcW w:w="1523" w:type="dxa"/>
            <w:shd w:val="clear" w:color="000000" w:fill="FFFFFF"/>
            <w:vAlign w:val="center"/>
          </w:tcPr>
          <w:p w14:paraId="28AC940A">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66.77 </w:t>
            </w:r>
          </w:p>
        </w:tc>
        <w:tc>
          <w:tcPr>
            <w:tcW w:w="1524" w:type="dxa"/>
            <w:shd w:val="clear" w:color="000000" w:fill="FFFFFF"/>
            <w:vAlign w:val="center"/>
          </w:tcPr>
          <w:p w14:paraId="31B0F039">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37.95 </w:t>
            </w:r>
          </w:p>
        </w:tc>
      </w:tr>
      <w:tr w14:paraId="58786406">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3FFBCCB5">
            <w:pPr>
              <w:widowControl/>
              <w:jc w:val="left"/>
              <w:rPr>
                <w:rFonts w:ascii="宋体" w:hAnsi="宋体" w:eastAsia="宋体" w:cs="Tahoma"/>
                <w:color w:val="000000"/>
                <w:kern w:val="0"/>
                <w:sz w:val="20"/>
                <w:szCs w:val="20"/>
              </w:rPr>
            </w:pPr>
          </w:p>
        </w:tc>
        <w:tc>
          <w:tcPr>
            <w:tcW w:w="2384" w:type="dxa"/>
            <w:shd w:val="clear" w:color="000000" w:fill="FFFFFF"/>
            <w:vAlign w:val="center"/>
          </w:tcPr>
          <w:p w14:paraId="62E1C05C">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其他工资福利支出</w:t>
            </w:r>
          </w:p>
        </w:tc>
        <w:tc>
          <w:tcPr>
            <w:tcW w:w="1381" w:type="dxa"/>
            <w:shd w:val="clear" w:color="000000" w:fill="FFFFFF"/>
            <w:vAlign w:val="center"/>
          </w:tcPr>
          <w:p w14:paraId="0158F24A">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144.68 </w:t>
            </w:r>
          </w:p>
        </w:tc>
        <w:tc>
          <w:tcPr>
            <w:tcW w:w="1596" w:type="dxa"/>
            <w:shd w:val="clear" w:color="000000" w:fill="FFFFFF"/>
            <w:vAlign w:val="center"/>
          </w:tcPr>
          <w:p w14:paraId="7F0DB34B">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83.46 </w:t>
            </w:r>
          </w:p>
        </w:tc>
        <w:tc>
          <w:tcPr>
            <w:tcW w:w="1451" w:type="dxa"/>
            <w:shd w:val="clear" w:color="000000" w:fill="FFFFFF"/>
            <w:vAlign w:val="center"/>
          </w:tcPr>
          <w:p w14:paraId="15838E58">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61A581A0">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44612AD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144.68 </w:t>
            </w:r>
          </w:p>
        </w:tc>
        <w:tc>
          <w:tcPr>
            <w:tcW w:w="1523" w:type="dxa"/>
            <w:shd w:val="clear" w:color="000000" w:fill="FFFFFF"/>
            <w:vAlign w:val="center"/>
          </w:tcPr>
          <w:p w14:paraId="0B113C0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83.46 </w:t>
            </w:r>
          </w:p>
        </w:tc>
        <w:tc>
          <w:tcPr>
            <w:tcW w:w="1524" w:type="dxa"/>
            <w:shd w:val="clear" w:color="000000" w:fill="FFFFFF"/>
            <w:vAlign w:val="center"/>
          </w:tcPr>
          <w:p w14:paraId="2117693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-61.22 </w:t>
            </w:r>
          </w:p>
        </w:tc>
      </w:tr>
      <w:tr w14:paraId="757CC662">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restart"/>
            <w:shd w:val="clear" w:color="000000" w:fill="FFFFFF"/>
            <w:vAlign w:val="center"/>
          </w:tcPr>
          <w:p w14:paraId="76DA0466">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商品和服务支出</w:t>
            </w:r>
          </w:p>
        </w:tc>
        <w:tc>
          <w:tcPr>
            <w:tcW w:w="2384" w:type="dxa"/>
            <w:shd w:val="clear" w:color="000000" w:fill="FFFFFF"/>
            <w:vAlign w:val="center"/>
          </w:tcPr>
          <w:p w14:paraId="1BC5FEAA">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小计</w:t>
            </w:r>
          </w:p>
        </w:tc>
        <w:tc>
          <w:tcPr>
            <w:tcW w:w="1381" w:type="dxa"/>
            <w:shd w:val="clear" w:color="000000" w:fill="FFFFFF"/>
            <w:vAlign w:val="center"/>
          </w:tcPr>
          <w:p w14:paraId="0F32EB96">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105.50 </w:t>
            </w:r>
          </w:p>
        </w:tc>
        <w:tc>
          <w:tcPr>
            <w:tcW w:w="1596" w:type="dxa"/>
            <w:shd w:val="clear" w:color="000000" w:fill="FFFFFF"/>
            <w:vAlign w:val="center"/>
          </w:tcPr>
          <w:p w14:paraId="1FD32596">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88.34 </w:t>
            </w:r>
          </w:p>
        </w:tc>
        <w:tc>
          <w:tcPr>
            <w:tcW w:w="1451" w:type="dxa"/>
            <w:shd w:val="clear" w:color="000000" w:fill="FFFFFF"/>
            <w:vAlign w:val="center"/>
          </w:tcPr>
          <w:p w14:paraId="27C7170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306.75 </w:t>
            </w:r>
          </w:p>
        </w:tc>
        <w:tc>
          <w:tcPr>
            <w:tcW w:w="1526" w:type="dxa"/>
            <w:shd w:val="clear" w:color="000000" w:fill="FFFFFF"/>
            <w:vAlign w:val="center"/>
          </w:tcPr>
          <w:p w14:paraId="5A2154B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272.44 </w:t>
            </w:r>
          </w:p>
        </w:tc>
        <w:tc>
          <w:tcPr>
            <w:tcW w:w="1524" w:type="dxa"/>
            <w:shd w:val="clear" w:color="000000" w:fill="FFFFFF"/>
            <w:vAlign w:val="center"/>
          </w:tcPr>
          <w:p w14:paraId="18D3D7C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412.25 </w:t>
            </w:r>
          </w:p>
        </w:tc>
        <w:tc>
          <w:tcPr>
            <w:tcW w:w="1523" w:type="dxa"/>
            <w:shd w:val="clear" w:color="000000" w:fill="FFFFFF"/>
            <w:vAlign w:val="center"/>
          </w:tcPr>
          <w:p w14:paraId="11B0B61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360.77 </w:t>
            </w:r>
          </w:p>
        </w:tc>
        <w:tc>
          <w:tcPr>
            <w:tcW w:w="1524" w:type="dxa"/>
            <w:shd w:val="clear" w:color="000000" w:fill="FFFFFF"/>
            <w:vAlign w:val="center"/>
          </w:tcPr>
          <w:p w14:paraId="50433AD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-51.48 </w:t>
            </w:r>
          </w:p>
        </w:tc>
      </w:tr>
      <w:tr w14:paraId="7C52A87D">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08AAA161">
            <w:pPr>
              <w:widowControl/>
              <w:jc w:val="left"/>
              <w:rPr>
                <w:rFonts w:ascii="宋体" w:hAnsi="宋体" w:eastAsia="宋体" w:cs="Tahoma"/>
                <w:color w:val="000000"/>
                <w:kern w:val="0"/>
                <w:sz w:val="20"/>
                <w:szCs w:val="20"/>
              </w:rPr>
            </w:pPr>
          </w:p>
        </w:tc>
        <w:tc>
          <w:tcPr>
            <w:tcW w:w="2384" w:type="dxa"/>
            <w:shd w:val="clear" w:color="000000" w:fill="FFFFFF"/>
            <w:vAlign w:val="center"/>
          </w:tcPr>
          <w:p w14:paraId="56424A1B">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办公费</w:t>
            </w:r>
          </w:p>
        </w:tc>
        <w:tc>
          <w:tcPr>
            <w:tcW w:w="1381" w:type="dxa"/>
            <w:shd w:val="clear" w:color="000000" w:fill="FFFFFF"/>
            <w:vAlign w:val="center"/>
          </w:tcPr>
          <w:p w14:paraId="04E49C84">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22.56 </w:t>
            </w:r>
          </w:p>
        </w:tc>
        <w:tc>
          <w:tcPr>
            <w:tcW w:w="1596" w:type="dxa"/>
            <w:shd w:val="clear" w:color="000000" w:fill="FFFFFF"/>
            <w:vAlign w:val="center"/>
          </w:tcPr>
          <w:p w14:paraId="3D3A7E4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3.73 </w:t>
            </w:r>
          </w:p>
        </w:tc>
        <w:tc>
          <w:tcPr>
            <w:tcW w:w="1451" w:type="dxa"/>
            <w:shd w:val="clear" w:color="000000" w:fill="FFFFFF"/>
            <w:vAlign w:val="center"/>
          </w:tcPr>
          <w:p w14:paraId="6AE7DAE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53.00 </w:t>
            </w:r>
          </w:p>
        </w:tc>
        <w:tc>
          <w:tcPr>
            <w:tcW w:w="1526" w:type="dxa"/>
            <w:shd w:val="clear" w:color="000000" w:fill="FFFFFF"/>
            <w:vAlign w:val="center"/>
          </w:tcPr>
          <w:p w14:paraId="0A5E54EC">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21.18 </w:t>
            </w:r>
          </w:p>
        </w:tc>
        <w:tc>
          <w:tcPr>
            <w:tcW w:w="1524" w:type="dxa"/>
            <w:shd w:val="clear" w:color="000000" w:fill="FFFFFF"/>
            <w:vAlign w:val="center"/>
          </w:tcPr>
          <w:p w14:paraId="3857082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75.56 </w:t>
            </w:r>
          </w:p>
        </w:tc>
        <w:tc>
          <w:tcPr>
            <w:tcW w:w="1523" w:type="dxa"/>
            <w:shd w:val="clear" w:color="000000" w:fill="FFFFFF"/>
            <w:vAlign w:val="center"/>
          </w:tcPr>
          <w:p w14:paraId="465946EC">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24.91 </w:t>
            </w:r>
          </w:p>
        </w:tc>
        <w:tc>
          <w:tcPr>
            <w:tcW w:w="1524" w:type="dxa"/>
            <w:shd w:val="clear" w:color="000000" w:fill="FFFFFF"/>
            <w:vAlign w:val="center"/>
          </w:tcPr>
          <w:p w14:paraId="28FA3161">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-50.65 </w:t>
            </w:r>
          </w:p>
        </w:tc>
      </w:tr>
      <w:tr w14:paraId="4F5BA0E6">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1E892FFC">
            <w:pPr>
              <w:widowControl/>
              <w:jc w:val="left"/>
              <w:rPr>
                <w:rFonts w:ascii="宋体" w:hAnsi="宋体" w:eastAsia="宋体" w:cs="Tahoma"/>
                <w:color w:val="000000"/>
                <w:kern w:val="0"/>
                <w:sz w:val="20"/>
                <w:szCs w:val="20"/>
              </w:rPr>
            </w:pPr>
          </w:p>
        </w:tc>
        <w:tc>
          <w:tcPr>
            <w:tcW w:w="2384" w:type="dxa"/>
            <w:shd w:val="clear" w:color="000000" w:fill="FFFFFF"/>
            <w:vAlign w:val="center"/>
          </w:tcPr>
          <w:p w14:paraId="3E56F059">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印刷费</w:t>
            </w:r>
          </w:p>
        </w:tc>
        <w:tc>
          <w:tcPr>
            <w:tcW w:w="1381" w:type="dxa"/>
            <w:shd w:val="clear" w:color="000000" w:fill="FFFFFF"/>
            <w:vAlign w:val="center"/>
          </w:tcPr>
          <w:p w14:paraId="05507363">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21C7571D">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26C53F8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79.50 </w:t>
            </w:r>
          </w:p>
        </w:tc>
        <w:tc>
          <w:tcPr>
            <w:tcW w:w="1526" w:type="dxa"/>
            <w:shd w:val="clear" w:color="000000" w:fill="FFFFFF"/>
            <w:vAlign w:val="center"/>
          </w:tcPr>
          <w:p w14:paraId="22ED492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87.40 </w:t>
            </w:r>
          </w:p>
        </w:tc>
        <w:tc>
          <w:tcPr>
            <w:tcW w:w="1524" w:type="dxa"/>
            <w:shd w:val="clear" w:color="000000" w:fill="FFFFFF"/>
            <w:vAlign w:val="center"/>
          </w:tcPr>
          <w:p w14:paraId="0828E34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79.50 </w:t>
            </w:r>
          </w:p>
        </w:tc>
        <w:tc>
          <w:tcPr>
            <w:tcW w:w="1523" w:type="dxa"/>
            <w:shd w:val="clear" w:color="000000" w:fill="FFFFFF"/>
            <w:vAlign w:val="center"/>
          </w:tcPr>
          <w:p w14:paraId="43A64707">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87.40 </w:t>
            </w:r>
          </w:p>
        </w:tc>
        <w:tc>
          <w:tcPr>
            <w:tcW w:w="1524" w:type="dxa"/>
            <w:shd w:val="clear" w:color="000000" w:fill="FFFFFF"/>
            <w:vAlign w:val="center"/>
          </w:tcPr>
          <w:p w14:paraId="5EA274E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7.90 </w:t>
            </w:r>
          </w:p>
        </w:tc>
      </w:tr>
      <w:tr w14:paraId="7E7EDFF2">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2D1EFC06">
            <w:pPr>
              <w:widowControl/>
              <w:jc w:val="left"/>
              <w:rPr>
                <w:rFonts w:ascii="宋体" w:hAnsi="宋体" w:eastAsia="宋体" w:cs="Tahoma"/>
                <w:color w:val="000000"/>
                <w:kern w:val="0"/>
                <w:sz w:val="20"/>
                <w:szCs w:val="20"/>
              </w:rPr>
            </w:pPr>
          </w:p>
        </w:tc>
        <w:tc>
          <w:tcPr>
            <w:tcW w:w="2384" w:type="dxa"/>
            <w:shd w:val="clear" w:color="000000" w:fill="FFFFFF"/>
            <w:vAlign w:val="center"/>
          </w:tcPr>
          <w:p w14:paraId="45761559">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咨询费</w:t>
            </w:r>
          </w:p>
        </w:tc>
        <w:tc>
          <w:tcPr>
            <w:tcW w:w="1381" w:type="dxa"/>
            <w:shd w:val="clear" w:color="000000" w:fill="FFFFFF"/>
            <w:vAlign w:val="center"/>
          </w:tcPr>
          <w:p w14:paraId="5AD7CABD">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7A93F5EA">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7DA29D9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10.00 </w:t>
            </w:r>
          </w:p>
        </w:tc>
        <w:tc>
          <w:tcPr>
            <w:tcW w:w="1526" w:type="dxa"/>
            <w:shd w:val="clear" w:color="000000" w:fill="FFFFFF"/>
            <w:vAlign w:val="center"/>
          </w:tcPr>
          <w:p w14:paraId="3B65DC2B">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5.00 </w:t>
            </w:r>
          </w:p>
        </w:tc>
        <w:tc>
          <w:tcPr>
            <w:tcW w:w="1524" w:type="dxa"/>
            <w:shd w:val="clear" w:color="000000" w:fill="FFFFFF"/>
            <w:vAlign w:val="center"/>
          </w:tcPr>
          <w:p w14:paraId="0D1AEA49">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10.00 </w:t>
            </w:r>
          </w:p>
        </w:tc>
        <w:tc>
          <w:tcPr>
            <w:tcW w:w="1523" w:type="dxa"/>
            <w:shd w:val="clear" w:color="000000" w:fill="FFFFFF"/>
            <w:vAlign w:val="center"/>
          </w:tcPr>
          <w:p w14:paraId="779AA4B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5.00 </w:t>
            </w:r>
          </w:p>
        </w:tc>
        <w:tc>
          <w:tcPr>
            <w:tcW w:w="1524" w:type="dxa"/>
            <w:shd w:val="clear" w:color="000000" w:fill="FFFFFF"/>
            <w:vAlign w:val="center"/>
          </w:tcPr>
          <w:p w14:paraId="05F5A7F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-5.00 </w:t>
            </w:r>
          </w:p>
        </w:tc>
      </w:tr>
      <w:tr w14:paraId="39BBD1C5">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28CE7A7F">
            <w:pPr>
              <w:widowControl/>
              <w:jc w:val="left"/>
              <w:rPr>
                <w:rFonts w:ascii="宋体" w:hAnsi="宋体" w:eastAsia="宋体" w:cs="Tahoma"/>
                <w:color w:val="000000"/>
                <w:kern w:val="0"/>
                <w:sz w:val="20"/>
                <w:szCs w:val="20"/>
              </w:rPr>
            </w:pPr>
          </w:p>
        </w:tc>
        <w:tc>
          <w:tcPr>
            <w:tcW w:w="2384" w:type="dxa"/>
            <w:shd w:val="clear" w:color="000000" w:fill="FFFFFF"/>
            <w:vAlign w:val="center"/>
          </w:tcPr>
          <w:p w14:paraId="30A806BC">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邮电费</w:t>
            </w:r>
          </w:p>
        </w:tc>
        <w:tc>
          <w:tcPr>
            <w:tcW w:w="1381" w:type="dxa"/>
            <w:shd w:val="clear" w:color="000000" w:fill="FFFFFF"/>
            <w:vAlign w:val="center"/>
          </w:tcPr>
          <w:p w14:paraId="1DF958B3">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637FCBE3">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28586FAA">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23.00 </w:t>
            </w:r>
          </w:p>
        </w:tc>
        <w:tc>
          <w:tcPr>
            <w:tcW w:w="1526" w:type="dxa"/>
            <w:shd w:val="clear" w:color="000000" w:fill="FFFFFF"/>
            <w:vAlign w:val="center"/>
          </w:tcPr>
          <w:p w14:paraId="135D039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18.01 </w:t>
            </w:r>
          </w:p>
        </w:tc>
        <w:tc>
          <w:tcPr>
            <w:tcW w:w="1524" w:type="dxa"/>
            <w:shd w:val="clear" w:color="000000" w:fill="FFFFFF"/>
            <w:vAlign w:val="center"/>
          </w:tcPr>
          <w:p w14:paraId="3C43F0E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23.00 </w:t>
            </w:r>
          </w:p>
        </w:tc>
        <w:tc>
          <w:tcPr>
            <w:tcW w:w="1523" w:type="dxa"/>
            <w:shd w:val="clear" w:color="000000" w:fill="FFFFFF"/>
            <w:vAlign w:val="center"/>
          </w:tcPr>
          <w:p w14:paraId="40184EB7">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18.01 </w:t>
            </w:r>
          </w:p>
        </w:tc>
        <w:tc>
          <w:tcPr>
            <w:tcW w:w="1524" w:type="dxa"/>
            <w:shd w:val="clear" w:color="000000" w:fill="FFFFFF"/>
            <w:vAlign w:val="center"/>
          </w:tcPr>
          <w:p w14:paraId="7B8A316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-4.99 </w:t>
            </w:r>
          </w:p>
        </w:tc>
      </w:tr>
      <w:tr w14:paraId="6598DFAD">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48701CF2">
            <w:pPr>
              <w:widowControl/>
              <w:jc w:val="left"/>
              <w:rPr>
                <w:rFonts w:ascii="宋体" w:hAnsi="宋体" w:eastAsia="宋体" w:cs="Tahoma"/>
                <w:color w:val="000000"/>
                <w:kern w:val="0"/>
                <w:sz w:val="20"/>
                <w:szCs w:val="20"/>
              </w:rPr>
            </w:pPr>
          </w:p>
        </w:tc>
        <w:tc>
          <w:tcPr>
            <w:tcW w:w="2384" w:type="dxa"/>
            <w:shd w:val="clear" w:color="000000" w:fill="FFFFFF"/>
            <w:vAlign w:val="center"/>
          </w:tcPr>
          <w:p w14:paraId="0F8C5DDA">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差旅费</w:t>
            </w:r>
          </w:p>
        </w:tc>
        <w:tc>
          <w:tcPr>
            <w:tcW w:w="1381" w:type="dxa"/>
            <w:shd w:val="clear" w:color="000000" w:fill="FFFFFF"/>
            <w:vAlign w:val="center"/>
          </w:tcPr>
          <w:p w14:paraId="0140BE35">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742FCDB7">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0.03 </w:t>
            </w:r>
          </w:p>
        </w:tc>
        <w:tc>
          <w:tcPr>
            <w:tcW w:w="1451" w:type="dxa"/>
            <w:shd w:val="clear" w:color="000000" w:fill="FFFFFF"/>
            <w:vAlign w:val="center"/>
          </w:tcPr>
          <w:p w14:paraId="57D24C6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22.00 </w:t>
            </w:r>
          </w:p>
        </w:tc>
        <w:tc>
          <w:tcPr>
            <w:tcW w:w="1526" w:type="dxa"/>
            <w:shd w:val="clear" w:color="000000" w:fill="FFFFFF"/>
            <w:vAlign w:val="center"/>
          </w:tcPr>
          <w:p w14:paraId="2A6FE201">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7.42 </w:t>
            </w:r>
          </w:p>
        </w:tc>
        <w:tc>
          <w:tcPr>
            <w:tcW w:w="1524" w:type="dxa"/>
            <w:shd w:val="clear" w:color="000000" w:fill="FFFFFF"/>
            <w:vAlign w:val="center"/>
          </w:tcPr>
          <w:p w14:paraId="295783D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22.00 </w:t>
            </w:r>
          </w:p>
        </w:tc>
        <w:tc>
          <w:tcPr>
            <w:tcW w:w="1523" w:type="dxa"/>
            <w:shd w:val="clear" w:color="000000" w:fill="FFFFFF"/>
            <w:vAlign w:val="center"/>
          </w:tcPr>
          <w:p w14:paraId="0AF2D7E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7.45 </w:t>
            </w:r>
          </w:p>
        </w:tc>
        <w:tc>
          <w:tcPr>
            <w:tcW w:w="1524" w:type="dxa"/>
            <w:shd w:val="clear" w:color="000000" w:fill="FFFFFF"/>
            <w:vAlign w:val="center"/>
          </w:tcPr>
          <w:p w14:paraId="0C0C23A7">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-14.55 </w:t>
            </w:r>
          </w:p>
        </w:tc>
      </w:tr>
      <w:tr w14:paraId="15B66FA3">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1FD33353">
            <w:pPr>
              <w:widowControl/>
              <w:jc w:val="left"/>
              <w:rPr>
                <w:rFonts w:ascii="宋体" w:hAnsi="宋体" w:eastAsia="宋体" w:cs="Tahoma"/>
                <w:color w:val="000000"/>
                <w:kern w:val="0"/>
                <w:sz w:val="20"/>
                <w:szCs w:val="20"/>
              </w:rPr>
            </w:pPr>
          </w:p>
        </w:tc>
        <w:tc>
          <w:tcPr>
            <w:tcW w:w="2384" w:type="dxa"/>
            <w:shd w:val="clear" w:color="000000" w:fill="FFFFFF"/>
            <w:vAlign w:val="center"/>
          </w:tcPr>
          <w:p w14:paraId="6793433B">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因公出国（境）费用</w:t>
            </w:r>
          </w:p>
        </w:tc>
        <w:tc>
          <w:tcPr>
            <w:tcW w:w="1381" w:type="dxa"/>
            <w:shd w:val="clear" w:color="000000" w:fill="FFFFFF"/>
            <w:vAlign w:val="center"/>
          </w:tcPr>
          <w:p w14:paraId="361C5776">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5C61A08E">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7FF083D2">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22768E4A">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3.08 </w:t>
            </w:r>
          </w:p>
        </w:tc>
        <w:tc>
          <w:tcPr>
            <w:tcW w:w="1524" w:type="dxa"/>
            <w:shd w:val="clear" w:color="000000" w:fill="FFFFFF"/>
            <w:vAlign w:val="center"/>
          </w:tcPr>
          <w:p w14:paraId="107A36EF">
            <w:pPr>
              <w:widowControl/>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w:t>
            </w:r>
          </w:p>
        </w:tc>
        <w:tc>
          <w:tcPr>
            <w:tcW w:w="1523" w:type="dxa"/>
            <w:shd w:val="clear" w:color="000000" w:fill="FFFFFF"/>
            <w:vAlign w:val="center"/>
          </w:tcPr>
          <w:p w14:paraId="398B0B9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3.08 </w:t>
            </w:r>
          </w:p>
        </w:tc>
        <w:tc>
          <w:tcPr>
            <w:tcW w:w="1524" w:type="dxa"/>
            <w:shd w:val="clear" w:color="000000" w:fill="FFFFFF"/>
            <w:vAlign w:val="center"/>
          </w:tcPr>
          <w:p w14:paraId="49FD3CF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3.08 </w:t>
            </w:r>
          </w:p>
        </w:tc>
      </w:tr>
      <w:tr w14:paraId="3EE70C8B">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4C2CED8A">
            <w:pPr>
              <w:widowControl/>
              <w:jc w:val="left"/>
              <w:rPr>
                <w:rFonts w:ascii="宋体" w:hAnsi="宋体" w:eastAsia="宋体" w:cs="Tahoma"/>
                <w:color w:val="000000"/>
                <w:kern w:val="0"/>
                <w:sz w:val="20"/>
                <w:szCs w:val="20"/>
              </w:rPr>
            </w:pPr>
          </w:p>
        </w:tc>
        <w:tc>
          <w:tcPr>
            <w:tcW w:w="2384" w:type="dxa"/>
            <w:shd w:val="clear" w:color="000000" w:fill="FFFFFF"/>
            <w:vAlign w:val="center"/>
          </w:tcPr>
          <w:p w14:paraId="19C6BEC1">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维修(护)费</w:t>
            </w:r>
          </w:p>
        </w:tc>
        <w:tc>
          <w:tcPr>
            <w:tcW w:w="1381" w:type="dxa"/>
            <w:shd w:val="clear" w:color="000000" w:fill="FFFFFF"/>
            <w:vAlign w:val="center"/>
          </w:tcPr>
          <w:p w14:paraId="47D10888">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388842BD">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7A15DA3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5.00 </w:t>
            </w:r>
          </w:p>
        </w:tc>
        <w:tc>
          <w:tcPr>
            <w:tcW w:w="1526" w:type="dxa"/>
            <w:shd w:val="clear" w:color="000000" w:fill="FFFFFF"/>
            <w:vAlign w:val="center"/>
          </w:tcPr>
          <w:p w14:paraId="5C2CBAE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6.39 </w:t>
            </w:r>
          </w:p>
        </w:tc>
        <w:tc>
          <w:tcPr>
            <w:tcW w:w="1524" w:type="dxa"/>
            <w:shd w:val="clear" w:color="000000" w:fill="FFFFFF"/>
            <w:vAlign w:val="center"/>
          </w:tcPr>
          <w:p w14:paraId="4BAB830B">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5.00 </w:t>
            </w:r>
          </w:p>
        </w:tc>
        <w:tc>
          <w:tcPr>
            <w:tcW w:w="1523" w:type="dxa"/>
            <w:shd w:val="clear" w:color="000000" w:fill="FFFFFF"/>
            <w:vAlign w:val="center"/>
          </w:tcPr>
          <w:p w14:paraId="799A38D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6.39 </w:t>
            </w:r>
          </w:p>
        </w:tc>
        <w:tc>
          <w:tcPr>
            <w:tcW w:w="1524" w:type="dxa"/>
            <w:shd w:val="clear" w:color="000000" w:fill="FFFFFF"/>
            <w:vAlign w:val="center"/>
          </w:tcPr>
          <w:p w14:paraId="22DD0C7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1.39 </w:t>
            </w:r>
          </w:p>
        </w:tc>
      </w:tr>
      <w:tr w14:paraId="6FD62562">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47F9D25D">
            <w:pPr>
              <w:widowControl/>
              <w:jc w:val="left"/>
              <w:rPr>
                <w:rFonts w:ascii="宋体" w:hAnsi="宋体" w:eastAsia="宋体" w:cs="Tahoma"/>
                <w:color w:val="000000"/>
                <w:kern w:val="0"/>
                <w:sz w:val="20"/>
                <w:szCs w:val="20"/>
              </w:rPr>
            </w:pPr>
          </w:p>
        </w:tc>
        <w:tc>
          <w:tcPr>
            <w:tcW w:w="2384" w:type="dxa"/>
            <w:shd w:val="clear" w:color="000000" w:fill="FFFFFF"/>
            <w:vAlign w:val="center"/>
          </w:tcPr>
          <w:p w14:paraId="3FAF6ACE">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会议费</w:t>
            </w:r>
          </w:p>
        </w:tc>
        <w:tc>
          <w:tcPr>
            <w:tcW w:w="1381" w:type="dxa"/>
            <w:shd w:val="clear" w:color="000000" w:fill="FFFFFF"/>
            <w:vAlign w:val="center"/>
          </w:tcPr>
          <w:p w14:paraId="3A1466FE">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71734630">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021405C7">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2.00 </w:t>
            </w:r>
          </w:p>
        </w:tc>
        <w:tc>
          <w:tcPr>
            <w:tcW w:w="1526" w:type="dxa"/>
            <w:shd w:val="clear" w:color="000000" w:fill="FFFFFF"/>
            <w:vAlign w:val="center"/>
          </w:tcPr>
          <w:p w14:paraId="24A506B6">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0.55 </w:t>
            </w:r>
          </w:p>
        </w:tc>
        <w:tc>
          <w:tcPr>
            <w:tcW w:w="1524" w:type="dxa"/>
            <w:shd w:val="clear" w:color="000000" w:fill="FFFFFF"/>
            <w:vAlign w:val="center"/>
          </w:tcPr>
          <w:p w14:paraId="52C0B5A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2.00 </w:t>
            </w:r>
          </w:p>
        </w:tc>
        <w:tc>
          <w:tcPr>
            <w:tcW w:w="1523" w:type="dxa"/>
            <w:shd w:val="clear" w:color="000000" w:fill="FFFFFF"/>
            <w:vAlign w:val="center"/>
          </w:tcPr>
          <w:p w14:paraId="08A5122A">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0.55 </w:t>
            </w:r>
          </w:p>
        </w:tc>
        <w:tc>
          <w:tcPr>
            <w:tcW w:w="1524" w:type="dxa"/>
            <w:shd w:val="clear" w:color="000000" w:fill="FFFFFF"/>
            <w:vAlign w:val="center"/>
          </w:tcPr>
          <w:p w14:paraId="0708F83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-1.45 </w:t>
            </w:r>
          </w:p>
        </w:tc>
      </w:tr>
      <w:tr w14:paraId="7272E925">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53B6F65F">
            <w:pPr>
              <w:widowControl/>
              <w:jc w:val="left"/>
              <w:rPr>
                <w:rFonts w:ascii="宋体" w:hAnsi="宋体" w:eastAsia="宋体" w:cs="Tahoma"/>
                <w:color w:val="000000"/>
                <w:kern w:val="0"/>
                <w:sz w:val="20"/>
                <w:szCs w:val="20"/>
              </w:rPr>
            </w:pPr>
          </w:p>
        </w:tc>
        <w:tc>
          <w:tcPr>
            <w:tcW w:w="2384" w:type="dxa"/>
            <w:shd w:val="clear" w:color="000000" w:fill="FFFFFF"/>
            <w:vAlign w:val="center"/>
          </w:tcPr>
          <w:p w14:paraId="1D9A8F3F">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培训费</w:t>
            </w:r>
          </w:p>
        </w:tc>
        <w:tc>
          <w:tcPr>
            <w:tcW w:w="1381" w:type="dxa"/>
            <w:shd w:val="clear" w:color="000000" w:fill="FFFFFF"/>
            <w:vAlign w:val="center"/>
          </w:tcPr>
          <w:p w14:paraId="3A36A7DF">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2BEBF41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0.45 </w:t>
            </w:r>
          </w:p>
        </w:tc>
        <w:tc>
          <w:tcPr>
            <w:tcW w:w="1451" w:type="dxa"/>
            <w:shd w:val="clear" w:color="000000" w:fill="FFFFFF"/>
            <w:vAlign w:val="center"/>
          </w:tcPr>
          <w:p w14:paraId="6D1066B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2.00 </w:t>
            </w:r>
          </w:p>
        </w:tc>
        <w:tc>
          <w:tcPr>
            <w:tcW w:w="1526" w:type="dxa"/>
            <w:shd w:val="clear" w:color="000000" w:fill="FFFFFF"/>
            <w:vAlign w:val="center"/>
          </w:tcPr>
          <w:p w14:paraId="61C24116">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1.92 </w:t>
            </w:r>
          </w:p>
        </w:tc>
        <w:tc>
          <w:tcPr>
            <w:tcW w:w="1524" w:type="dxa"/>
            <w:shd w:val="clear" w:color="000000" w:fill="FFFFFF"/>
            <w:vAlign w:val="center"/>
          </w:tcPr>
          <w:p w14:paraId="5BDA13C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2.00 </w:t>
            </w:r>
          </w:p>
        </w:tc>
        <w:tc>
          <w:tcPr>
            <w:tcW w:w="1523" w:type="dxa"/>
            <w:shd w:val="clear" w:color="000000" w:fill="FFFFFF"/>
            <w:vAlign w:val="center"/>
          </w:tcPr>
          <w:p w14:paraId="0014375B">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2.37 </w:t>
            </w:r>
          </w:p>
        </w:tc>
        <w:tc>
          <w:tcPr>
            <w:tcW w:w="1524" w:type="dxa"/>
            <w:shd w:val="clear" w:color="000000" w:fill="FFFFFF"/>
            <w:vAlign w:val="center"/>
          </w:tcPr>
          <w:p w14:paraId="6D88825C">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0.37 </w:t>
            </w:r>
          </w:p>
        </w:tc>
      </w:tr>
      <w:tr w14:paraId="0C6ADD4B">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358B2CD7">
            <w:pPr>
              <w:widowControl/>
              <w:jc w:val="left"/>
              <w:rPr>
                <w:rFonts w:ascii="宋体" w:hAnsi="宋体" w:eastAsia="宋体" w:cs="Tahoma"/>
                <w:color w:val="000000"/>
                <w:kern w:val="0"/>
                <w:sz w:val="20"/>
                <w:szCs w:val="20"/>
              </w:rPr>
            </w:pPr>
          </w:p>
        </w:tc>
        <w:tc>
          <w:tcPr>
            <w:tcW w:w="2384" w:type="dxa"/>
            <w:shd w:val="clear" w:color="000000" w:fill="FFFFFF"/>
            <w:vAlign w:val="center"/>
          </w:tcPr>
          <w:p w14:paraId="76C264CD">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公务接待费</w:t>
            </w:r>
          </w:p>
        </w:tc>
        <w:tc>
          <w:tcPr>
            <w:tcW w:w="1381" w:type="dxa"/>
            <w:shd w:val="clear" w:color="000000" w:fill="FFFFFF"/>
            <w:vAlign w:val="center"/>
          </w:tcPr>
          <w:p w14:paraId="19EBBB20">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2E187055">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6904479A">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12.00 </w:t>
            </w:r>
          </w:p>
        </w:tc>
        <w:tc>
          <w:tcPr>
            <w:tcW w:w="1526" w:type="dxa"/>
            <w:shd w:val="clear" w:color="000000" w:fill="FFFFFF"/>
            <w:vAlign w:val="center"/>
          </w:tcPr>
          <w:p w14:paraId="690EAFB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1.44 </w:t>
            </w:r>
          </w:p>
        </w:tc>
        <w:tc>
          <w:tcPr>
            <w:tcW w:w="1524" w:type="dxa"/>
            <w:shd w:val="clear" w:color="000000" w:fill="FFFFFF"/>
            <w:vAlign w:val="center"/>
          </w:tcPr>
          <w:p w14:paraId="2912907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12.00 </w:t>
            </w:r>
          </w:p>
        </w:tc>
        <w:tc>
          <w:tcPr>
            <w:tcW w:w="1523" w:type="dxa"/>
            <w:shd w:val="clear" w:color="000000" w:fill="FFFFFF"/>
            <w:vAlign w:val="center"/>
          </w:tcPr>
          <w:p w14:paraId="717BEA7C">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1.44 </w:t>
            </w:r>
          </w:p>
        </w:tc>
        <w:tc>
          <w:tcPr>
            <w:tcW w:w="1524" w:type="dxa"/>
            <w:shd w:val="clear" w:color="000000" w:fill="FFFFFF"/>
            <w:vAlign w:val="center"/>
          </w:tcPr>
          <w:p w14:paraId="60314461">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-10.56 </w:t>
            </w:r>
          </w:p>
        </w:tc>
      </w:tr>
      <w:tr w14:paraId="3130D703">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27280613">
            <w:pPr>
              <w:widowControl/>
              <w:jc w:val="left"/>
              <w:rPr>
                <w:rFonts w:ascii="宋体" w:hAnsi="宋体" w:eastAsia="宋体" w:cs="Tahoma"/>
                <w:color w:val="000000"/>
                <w:kern w:val="0"/>
                <w:sz w:val="20"/>
                <w:szCs w:val="20"/>
              </w:rPr>
            </w:pPr>
          </w:p>
        </w:tc>
        <w:tc>
          <w:tcPr>
            <w:tcW w:w="2384" w:type="dxa"/>
            <w:shd w:val="clear" w:color="000000" w:fill="FFFFFF"/>
            <w:vAlign w:val="center"/>
          </w:tcPr>
          <w:p w14:paraId="201491DC">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租赁费</w:t>
            </w:r>
          </w:p>
        </w:tc>
        <w:tc>
          <w:tcPr>
            <w:tcW w:w="1381" w:type="dxa"/>
            <w:shd w:val="clear" w:color="000000" w:fill="FFFFFF"/>
            <w:vAlign w:val="center"/>
          </w:tcPr>
          <w:p w14:paraId="0CF19D32">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37DDBEDD">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77B2493A">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036AEE8E">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0F7FA29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   </w:t>
            </w:r>
          </w:p>
        </w:tc>
        <w:tc>
          <w:tcPr>
            <w:tcW w:w="1523" w:type="dxa"/>
            <w:shd w:val="clear" w:color="000000" w:fill="FFFFFF"/>
            <w:vAlign w:val="center"/>
          </w:tcPr>
          <w:p w14:paraId="2C87372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   </w:t>
            </w:r>
          </w:p>
        </w:tc>
        <w:tc>
          <w:tcPr>
            <w:tcW w:w="1524" w:type="dxa"/>
            <w:shd w:val="clear" w:color="000000" w:fill="FFFFFF"/>
            <w:vAlign w:val="center"/>
          </w:tcPr>
          <w:p w14:paraId="371DBF71">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   </w:t>
            </w:r>
          </w:p>
        </w:tc>
      </w:tr>
      <w:tr w14:paraId="255BA7E2">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602A6CE8">
            <w:pPr>
              <w:widowControl/>
              <w:jc w:val="left"/>
              <w:rPr>
                <w:rFonts w:ascii="宋体" w:hAnsi="宋体" w:eastAsia="宋体" w:cs="Tahoma"/>
                <w:color w:val="000000"/>
                <w:kern w:val="0"/>
                <w:sz w:val="20"/>
                <w:szCs w:val="20"/>
              </w:rPr>
            </w:pPr>
          </w:p>
        </w:tc>
        <w:tc>
          <w:tcPr>
            <w:tcW w:w="2384" w:type="dxa"/>
            <w:shd w:val="clear" w:color="000000" w:fill="FFFFFF"/>
            <w:vAlign w:val="center"/>
          </w:tcPr>
          <w:p w14:paraId="651CCB20">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劳务费</w:t>
            </w:r>
          </w:p>
        </w:tc>
        <w:tc>
          <w:tcPr>
            <w:tcW w:w="1381" w:type="dxa"/>
            <w:shd w:val="clear" w:color="000000" w:fill="FFFFFF"/>
            <w:vAlign w:val="center"/>
          </w:tcPr>
          <w:p w14:paraId="64FD196E">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25447FD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4.31 </w:t>
            </w:r>
          </w:p>
        </w:tc>
        <w:tc>
          <w:tcPr>
            <w:tcW w:w="1451" w:type="dxa"/>
            <w:shd w:val="clear" w:color="000000" w:fill="FFFFFF"/>
            <w:vAlign w:val="center"/>
          </w:tcPr>
          <w:p w14:paraId="7DBA694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21.50 </w:t>
            </w:r>
          </w:p>
        </w:tc>
        <w:tc>
          <w:tcPr>
            <w:tcW w:w="1526" w:type="dxa"/>
            <w:shd w:val="clear" w:color="000000" w:fill="FFFFFF"/>
            <w:vAlign w:val="center"/>
          </w:tcPr>
          <w:p w14:paraId="37BCEC8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38.76 </w:t>
            </w:r>
          </w:p>
        </w:tc>
        <w:tc>
          <w:tcPr>
            <w:tcW w:w="1524" w:type="dxa"/>
            <w:shd w:val="clear" w:color="000000" w:fill="FFFFFF"/>
            <w:vAlign w:val="center"/>
          </w:tcPr>
          <w:p w14:paraId="7542747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21.50 </w:t>
            </w:r>
          </w:p>
        </w:tc>
        <w:tc>
          <w:tcPr>
            <w:tcW w:w="1523" w:type="dxa"/>
            <w:shd w:val="clear" w:color="000000" w:fill="FFFFFF"/>
            <w:vAlign w:val="center"/>
          </w:tcPr>
          <w:p w14:paraId="0812B1F4">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43.07 </w:t>
            </w:r>
          </w:p>
        </w:tc>
        <w:tc>
          <w:tcPr>
            <w:tcW w:w="1524" w:type="dxa"/>
            <w:shd w:val="clear" w:color="000000" w:fill="FFFFFF"/>
            <w:vAlign w:val="center"/>
          </w:tcPr>
          <w:p w14:paraId="2D2C65E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21.57 </w:t>
            </w:r>
          </w:p>
        </w:tc>
      </w:tr>
      <w:tr w14:paraId="2C7E5085">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51E0A562">
            <w:pPr>
              <w:widowControl/>
              <w:jc w:val="left"/>
              <w:rPr>
                <w:rFonts w:ascii="宋体" w:hAnsi="宋体" w:eastAsia="宋体" w:cs="Tahoma"/>
                <w:color w:val="000000"/>
                <w:kern w:val="0"/>
                <w:sz w:val="20"/>
                <w:szCs w:val="20"/>
              </w:rPr>
            </w:pPr>
          </w:p>
        </w:tc>
        <w:tc>
          <w:tcPr>
            <w:tcW w:w="2384" w:type="dxa"/>
            <w:shd w:val="clear" w:color="000000" w:fill="FFFFFF"/>
            <w:vAlign w:val="center"/>
          </w:tcPr>
          <w:p w14:paraId="76820035">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委托业务费</w:t>
            </w:r>
          </w:p>
        </w:tc>
        <w:tc>
          <w:tcPr>
            <w:tcW w:w="1381" w:type="dxa"/>
            <w:shd w:val="clear" w:color="000000" w:fill="FFFFFF"/>
            <w:vAlign w:val="center"/>
          </w:tcPr>
          <w:p w14:paraId="32E1D18E">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255FE093">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691E163C">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26.00 </w:t>
            </w:r>
          </w:p>
        </w:tc>
        <w:tc>
          <w:tcPr>
            <w:tcW w:w="1526" w:type="dxa"/>
            <w:shd w:val="clear" w:color="000000" w:fill="FFFFFF"/>
            <w:vAlign w:val="center"/>
          </w:tcPr>
          <w:p w14:paraId="080935F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12.64 </w:t>
            </w:r>
          </w:p>
        </w:tc>
        <w:tc>
          <w:tcPr>
            <w:tcW w:w="1524" w:type="dxa"/>
            <w:shd w:val="clear" w:color="000000" w:fill="FFFFFF"/>
            <w:vAlign w:val="center"/>
          </w:tcPr>
          <w:p w14:paraId="6BF8D31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26.00 </w:t>
            </w:r>
          </w:p>
        </w:tc>
        <w:tc>
          <w:tcPr>
            <w:tcW w:w="1523" w:type="dxa"/>
            <w:shd w:val="clear" w:color="000000" w:fill="FFFFFF"/>
            <w:vAlign w:val="center"/>
          </w:tcPr>
          <w:p w14:paraId="43BF364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12.64 </w:t>
            </w:r>
          </w:p>
        </w:tc>
        <w:tc>
          <w:tcPr>
            <w:tcW w:w="1524" w:type="dxa"/>
            <w:shd w:val="clear" w:color="000000" w:fill="FFFFFF"/>
            <w:vAlign w:val="center"/>
          </w:tcPr>
          <w:p w14:paraId="58E8249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-13.36 </w:t>
            </w:r>
          </w:p>
        </w:tc>
      </w:tr>
      <w:tr w14:paraId="33326E98">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0D052658">
            <w:pPr>
              <w:widowControl/>
              <w:jc w:val="left"/>
              <w:rPr>
                <w:rFonts w:ascii="宋体" w:hAnsi="宋体" w:eastAsia="宋体" w:cs="Tahoma"/>
                <w:color w:val="000000"/>
                <w:kern w:val="0"/>
                <w:sz w:val="20"/>
                <w:szCs w:val="20"/>
              </w:rPr>
            </w:pPr>
          </w:p>
        </w:tc>
        <w:tc>
          <w:tcPr>
            <w:tcW w:w="2384" w:type="dxa"/>
            <w:shd w:val="clear" w:color="000000" w:fill="FFFFFF"/>
            <w:vAlign w:val="center"/>
          </w:tcPr>
          <w:p w14:paraId="034170B3">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工会经费</w:t>
            </w:r>
          </w:p>
        </w:tc>
        <w:tc>
          <w:tcPr>
            <w:tcW w:w="1381" w:type="dxa"/>
            <w:shd w:val="clear" w:color="000000" w:fill="FFFFFF"/>
            <w:vAlign w:val="center"/>
          </w:tcPr>
          <w:p w14:paraId="347248A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2.88 </w:t>
            </w:r>
          </w:p>
        </w:tc>
        <w:tc>
          <w:tcPr>
            <w:tcW w:w="1596" w:type="dxa"/>
            <w:shd w:val="clear" w:color="000000" w:fill="FFFFFF"/>
            <w:vAlign w:val="center"/>
          </w:tcPr>
          <w:p w14:paraId="538755B6">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2.88 </w:t>
            </w:r>
          </w:p>
        </w:tc>
        <w:tc>
          <w:tcPr>
            <w:tcW w:w="1451" w:type="dxa"/>
            <w:shd w:val="clear" w:color="000000" w:fill="FFFFFF"/>
            <w:vAlign w:val="center"/>
          </w:tcPr>
          <w:p w14:paraId="6E2522CE">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37B7F29D">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44AD6C4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2.88 </w:t>
            </w:r>
          </w:p>
        </w:tc>
        <w:tc>
          <w:tcPr>
            <w:tcW w:w="1523" w:type="dxa"/>
            <w:shd w:val="clear" w:color="000000" w:fill="FFFFFF"/>
            <w:vAlign w:val="center"/>
          </w:tcPr>
          <w:p w14:paraId="11E2FE5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2.88 </w:t>
            </w:r>
          </w:p>
        </w:tc>
        <w:tc>
          <w:tcPr>
            <w:tcW w:w="1524" w:type="dxa"/>
            <w:shd w:val="clear" w:color="000000" w:fill="FFFFFF"/>
            <w:vAlign w:val="center"/>
          </w:tcPr>
          <w:p w14:paraId="4AB6D7E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   </w:t>
            </w:r>
          </w:p>
        </w:tc>
      </w:tr>
      <w:tr w14:paraId="6AE63DE5">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609CECF9">
            <w:pPr>
              <w:widowControl/>
              <w:jc w:val="left"/>
              <w:rPr>
                <w:rFonts w:ascii="宋体" w:hAnsi="宋体" w:eastAsia="宋体" w:cs="Tahoma"/>
                <w:color w:val="000000"/>
                <w:kern w:val="0"/>
                <w:sz w:val="20"/>
                <w:szCs w:val="20"/>
              </w:rPr>
            </w:pPr>
          </w:p>
        </w:tc>
        <w:tc>
          <w:tcPr>
            <w:tcW w:w="2384" w:type="dxa"/>
            <w:shd w:val="clear" w:color="000000" w:fill="FFFFFF"/>
            <w:vAlign w:val="center"/>
          </w:tcPr>
          <w:p w14:paraId="3A1BC3D5">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福利费</w:t>
            </w:r>
          </w:p>
        </w:tc>
        <w:tc>
          <w:tcPr>
            <w:tcW w:w="1381" w:type="dxa"/>
            <w:shd w:val="clear" w:color="000000" w:fill="FFFFFF"/>
            <w:vAlign w:val="center"/>
          </w:tcPr>
          <w:p w14:paraId="3C14EE91">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0.62 </w:t>
            </w:r>
          </w:p>
        </w:tc>
        <w:tc>
          <w:tcPr>
            <w:tcW w:w="1596" w:type="dxa"/>
            <w:shd w:val="clear" w:color="000000" w:fill="FFFFFF"/>
            <w:vAlign w:val="center"/>
          </w:tcPr>
          <w:p w14:paraId="0D4FF599">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0.60 </w:t>
            </w:r>
          </w:p>
        </w:tc>
        <w:tc>
          <w:tcPr>
            <w:tcW w:w="1451" w:type="dxa"/>
            <w:shd w:val="clear" w:color="000000" w:fill="FFFFFF"/>
            <w:vAlign w:val="center"/>
          </w:tcPr>
          <w:p w14:paraId="406F4753">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13007CDC">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22D5B74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0.62 </w:t>
            </w:r>
          </w:p>
        </w:tc>
        <w:tc>
          <w:tcPr>
            <w:tcW w:w="1523" w:type="dxa"/>
            <w:shd w:val="clear" w:color="000000" w:fill="FFFFFF"/>
            <w:vAlign w:val="center"/>
          </w:tcPr>
          <w:p w14:paraId="2373261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0.60 </w:t>
            </w:r>
          </w:p>
        </w:tc>
        <w:tc>
          <w:tcPr>
            <w:tcW w:w="1524" w:type="dxa"/>
            <w:shd w:val="clear" w:color="000000" w:fill="FFFFFF"/>
            <w:vAlign w:val="center"/>
          </w:tcPr>
          <w:p w14:paraId="1EB8BF3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-0.02 </w:t>
            </w:r>
          </w:p>
        </w:tc>
      </w:tr>
      <w:tr w14:paraId="1E1108EB">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36C14053">
            <w:pPr>
              <w:widowControl/>
              <w:jc w:val="left"/>
              <w:rPr>
                <w:rFonts w:ascii="宋体" w:hAnsi="宋体" w:eastAsia="宋体" w:cs="Tahoma"/>
                <w:color w:val="000000"/>
                <w:kern w:val="0"/>
                <w:sz w:val="20"/>
                <w:szCs w:val="20"/>
              </w:rPr>
            </w:pPr>
          </w:p>
        </w:tc>
        <w:tc>
          <w:tcPr>
            <w:tcW w:w="2384" w:type="dxa"/>
            <w:shd w:val="clear" w:color="000000" w:fill="FFFFFF"/>
            <w:vAlign w:val="center"/>
          </w:tcPr>
          <w:p w14:paraId="3F0A8B16">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其他交通费</w:t>
            </w:r>
          </w:p>
        </w:tc>
        <w:tc>
          <w:tcPr>
            <w:tcW w:w="1381" w:type="dxa"/>
            <w:shd w:val="clear" w:color="000000" w:fill="FFFFFF"/>
            <w:vAlign w:val="center"/>
          </w:tcPr>
          <w:p w14:paraId="320C395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27.44 </w:t>
            </w:r>
          </w:p>
        </w:tc>
        <w:tc>
          <w:tcPr>
            <w:tcW w:w="1596" w:type="dxa"/>
            <w:shd w:val="clear" w:color="000000" w:fill="FFFFFF"/>
            <w:vAlign w:val="center"/>
          </w:tcPr>
          <w:p w14:paraId="341464E1">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27.93 </w:t>
            </w:r>
          </w:p>
        </w:tc>
        <w:tc>
          <w:tcPr>
            <w:tcW w:w="1451" w:type="dxa"/>
            <w:shd w:val="clear" w:color="000000" w:fill="FFFFFF"/>
            <w:vAlign w:val="center"/>
          </w:tcPr>
          <w:p w14:paraId="7D3B4182">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067FDEC9">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0.26 </w:t>
            </w:r>
          </w:p>
        </w:tc>
        <w:tc>
          <w:tcPr>
            <w:tcW w:w="1524" w:type="dxa"/>
            <w:shd w:val="clear" w:color="000000" w:fill="FFFFFF"/>
            <w:vAlign w:val="center"/>
          </w:tcPr>
          <w:p w14:paraId="14B1636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27.44 </w:t>
            </w:r>
          </w:p>
        </w:tc>
        <w:tc>
          <w:tcPr>
            <w:tcW w:w="1523" w:type="dxa"/>
            <w:shd w:val="clear" w:color="000000" w:fill="FFFFFF"/>
            <w:vAlign w:val="center"/>
          </w:tcPr>
          <w:p w14:paraId="32BECDB4">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28.19 </w:t>
            </w:r>
          </w:p>
        </w:tc>
        <w:tc>
          <w:tcPr>
            <w:tcW w:w="1524" w:type="dxa"/>
            <w:shd w:val="clear" w:color="000000" w:fill="FFFFFF"/>
            <w:vAlign w:val="center"/>
          </w:tcPr>
          <w:p w14:paraId="047DD117">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0.75 </w:t>
            </w:r>
          </w:p>
        </w:tc>
      </w:tr>
      <w:tr w14:paraId="67284731">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6A211379">
            <w:pPr>
              <w:widowControl/>
              <w:jc w:val="left"/>
              <w:rPr>
                <w:rFonts w:ascii="宋体" w:hAnsi="宋体" w:eastAsia="宋体" w:cs="Tahoma"/>
                <w:color w:val="000000"/>
                <w:kern w:val="0"/>
                <w:sz w:val="20"/>
                <w:szCs w:val="20"/>
              </w:rPr>
            </w:pPr>
          </w:p>
        </w:tc>
        <w:tc>
          <w:tcPr>
            <w:tcW w:w="2384" w:type="dxa"/>
            <w:shd w:val="clear" w:color="000000" w:fill="FFFFFF"/>
            <w:vAlign w:val="center"/>
          </w:tcPr>
          <w:p w14:paraId="33BA0AEE">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公务用车运行维护费</w:t>
            </w:r>
          </w:p>
        </w:tc>
        <w:tc>
          <w:tcPr>
            <w:tcW w:w="1381" w:type="dxa"/>
            <w:shd w:val="clear" w:color="000000" w:fill="FFFFFF"/>
            <w:vAlign w:val="center"/>
          </w:tcPr>
          <w:p w14:paraId="3FB29001">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64ED0C48">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0D75392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9.00 </w:t>
            </w:r>
          </w:p>
        </w:tc>
        <w:tc>
          <w:tcPr>
            <w:tcW w:w="1526" w:type="dxa"/>
            <w:shd w:val="clear" w:color="000000" w:fill="FFFFFF"/>
            <w:vAlign w:val="center"/>
          </w:tcPr>
          <w:p w14:paraId="05ADF71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4.72 </w:t>
            </w:r>
          </w:p>
        </w:tc>
        <w:tc>
          <w:tcPr>
            <w:tcW w:w="1524" w:type="dxa"/>
            <w:shd w:val="clear" w:color="000000" w:fill="FFFFFF"/>
            <w:vAlign w:val="center"/>
          </w:tcPr>
          <w:p w14:paraId="1868AD81">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9.00 </w:t>
            </w:r>
          </w:p>
        </w:tc>
        <w:tc>
          <w:tcPr>
            <w:tcW w:w="1523" w:type="dxa"/>
            <w:shd w:val="clear" w:color="000000" w:fill="FFFFFF"/>
            <w:vAlign w:val="center"/>
          </w:tcPr>
          <w:p w14:paraId="6A6B0AB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4.72 </w:t>
            </w:r>
          </w:p>
        </w:tc>
        <w:tc>
          <w:tcPr>
            <w:tcW w:w="1524" w:type="dxa"/>
            <w:shd w:val="clear" w:color="000000" w:fill="FFFFFF"/>
            <w:vAlign w:val="center"/>
          </w:tcPr>
          <w:p w14:paraId="30323F3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-4.28 </w:t>
            </w:r>
          </w:p>
        </w:tc>
      </w:tr>
      <w:tr w14:paraId="68FA8A2B">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056BFBBF">
            <w:pPr>
              <w:widowControl/>
              <w:jc w:val="left"/>
              <w:rPr>
                <w:rFonts w:ascii="宋体" w:hAnsi="宋体" w:eastAsia="宋体" w:cs="Tahoma"/>
                <w:color w:val="000000"/>
                <w:kern w:val="0"/>
                <w:sz w:val="20"/>
                <w:szCs w:val="20"/>
              </w:rPr>
            </w:pPr>
          </w:p>
        </w:tc>
        <w:tc>
          <w:tcPr>
            <w:tcW w:w="2384" w:type="dxa"/>
            <w:shd w:val="clear" w:color="000000" w:fill="FFFFFF"/>
            <w:vAlign w:val="center"/>
          </w:tcPr>
          <w:p w14:paraId="54EBF563">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其他商品和服务支出</w:t>
            </w:r>
          </w:p>
        </w:tc>
        <w:tc>
          <w:tcPr>
            <w:tcW w:w="1381" w:type="dxa"/>
            <w:shd w:val="clear" w:color="000000" w:fill="FFFFFF"/>
            <w:vAlign w:val="center"/>
          </w:tcPr>
          <w:p w14:paraId="69A9E67A">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52.00 </w:t>
            </w:r>
          </w:p>
        </w:tc>
        <w:tc>
          <w:tcPr>
            <w:tcW w:w="1596" w:type="dxa"/>
            <w:shd w:val="clear" w:color="000000" w:fill="FFFFFF"/>
            <w:vAlign w:val="center"/>
          </w:tcPr>
          <w:p w14:paraId="5471F1DD">
            <w:pPr>
              <w:widowControl/>
              <w:ind w:right="105"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48.41 </w:t>
            </w:r>
          </w:p>
        </w:tc>
        <w:tc>
          <w:tcPr>
            <w:tcW w:w="1451" w:type="dxa"/>
            <w:shd w:val="clear" w:color="000000" w:fill="FFFFFF"/>
            <w:vAlign w:val="center"/>
          </w:tcPr>
          <w:p w14:paraId="6DA98CA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41.75 </w:t>
            </w:r>
          </w:p>
        </w:tc>
        <w:tc>
          <w:tcPr>
            <w:tcW w:w="1526" w:type="dxa"/>
            <w:shd w:val="clear" w:color="000000" w:fill="FFFFFF"/>
            <w:vAlign w:val="center"/>
          </w:tcPr>
          <w:p w14:paraId="13A302E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63.67 </w:t>
            </w:r>
          </w:p>
        </w:tc>
        <w:tc>
          <w:tcPr>
            <w:tcW w:w="1524" w:type="dxa"/>
            <w:shd w:val="clear" w:color="000000" w:fill="FFFFFF"/>
            <w:vAlign w:val="center"/>
          </w:tcPr>
          <w:p w14:paraId="318772ED">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93.75 </w:t>
            </w:r>
          </w:p>
        </w:tc>
        <w:tc>
          <w:tcPr>
            <w:tcW w:w="1523" w:type="dxa"/>
            <w:shd w:val="clear" w:color="000000" w:fill="FFFFFF"/>
            <w:vAlign w:val="center"/>
          </w:tcPr>
          <w:p w14:paraId="669470B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112.08 </w:t>
            </w:r>
          </w:p>
        </w:tc>
        <w:tc>
          <w:tcPr>
            <w:tcW w:w="1524" w:type="dxa"/>
            <w:shd w:val="clear" w:color="000000" w:fill="FFFFFF"/>
            <w:vAlign w:val="center"/>
          </w:tcPr>
          <w:p w14:paraId="0C96A476">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18.33 </w:t>
            </w:r>
          </w:p>
        </w:tc>
      </w:tr>
      <w:tr w14:paraId="06EB0152">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restart"/>
            <w:shd w:val="clear" w:color="000000" w:fill="FFFFFF"/>
            <w:vAlign w:val="center"/>
          </w:tcPr>
          <w:p w14:paraId="40097C9A">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对个人和家庭的补助</w:t>
            </w:r>
          </w:p>
        </w:tc>
        <w:tc>
          <w:tcPr>
            <w:tcW w:w="2384" w:type="dxa"/>
            <w:shd w:val="clear" w:color="000000" w:fill="FFFFFF"/>
            <w:vAlign w:val="center"/>
          </w:tcPr>
          <w:p w14:paraId="26F3EFBC">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小计</w:t>
            </w:r>
          </w:p>
        </w:tc>
        <w:tc>
          <w:tcPr>
            <w:tcW w:w="1381" w:type="dxa"/>
            <w:shd w:val="clear" w:color="000000" w:fill="FFFFFF"/>
            <w:vAlign w:val="center"/>
          </w:tcPr>
          <w:p w14:paraId="06285EB4">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23.03 </w:t>
            </w:r>
          </w:p>
        </w:tc>
        <w:tc>
          <w:tcPr>
            <w:tcW w:w="1596" w:type="dxa"/>
            <w:shd w:val="clear" w:color="000000" w:fill="FFFFFF"/>
            <w:vAlign w:val="center"/>
          </w:tcPr>
          <w:p w14:paraId="1EE225C6">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32.36 </w:t>
            </w:r>
          </w:p>
        </w:tc>
        <w:tc>
          <w:tcPr>
            <w:tcW w:w="1451" w:type="dxa"/>
            <w:shd w:val="clear" w:color="000000" w:fill="FFFFFF"/>
            <w:vAlign w:val="center"/>
          </w:tcPr>
          <w:p w14:paraId="359A3369">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   </w:t>
            </w:r>
          </w:p>
        </w:tc>
        <w:tc>
          <w:tcPr>
            <w:tcW w:w="1526" w:type="dxa"/>
            <w:shd w:val="clear" w:color="000000" w:fill="FFFFFF"/>
            <w:vAlign w:val="center"/>
          </w:tcPr>
          <w:p w14:paraId="178CE78B">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3.00 </w:t>
            </w:r>
          </w:p>
        </w:tc>
        <w:tc>
          <w:tcPr>
            <w:tcW w:w="1524" w:type="dxa"/>
            <w:shd w:val="clear" w:color="000000" w:fill="FFFFFF"/>
            <w:vAlign w:val="center"/>
          </w:tcPr>
          <w:p w14:paraId="416F7A5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23.03 </w:t>
            </w:r>
          </w:p>
        </w:tc>
        <w:tc>
          <w:tcPr>
            <w:tcW w:w="1523" w:type="dxa"/>
            <w:shd w:val="clear" w:color="000000" w:fill="FFFFFF"/>
            <w:vAlign w:val="center"/>
          </w:tcPr>
          <w:p w14:paraId="51A1FCBC">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35.36 </w:t>
            </w:r>
          </w:p>
        </w:tc>
        <w:tc>
          <w:tcPr>
            <w:tcW w:w="1524" w:type="dxa"/>
            <w:shd w:val="clear" w:color="000000" w:fill="FFFFFF"/>
            <w:vAlign w:val="center"/>
          </w:tcPr>
          <w:p w14:paraId="4ECE27A1">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12.33 </w:t>
            </w:r>
          </w:p>
        </w:tc>
      </w:tr>
      <w:tr w14:paraId="2E66F96D">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061ECAC9">
            <w:pPr>
              <w:widowControl/>
              <w:jc w:val="left"/>
              <w:rPr>
                <w:rFonts w:ascii="宋体" w:hAnsi="宋体" w:eastAsia="宋体" w:cs="Tahoma"/>
                <w:color w:val="000000"/>
                <w:kern w:val="0"/>
                <w:sz w:val="20"/>
                <w:szCs w:val="20"/>
              </w:rPr>
            </w:pPr>
          </w:p>
        </w:tc>
        <w:tc>
          <w:tcPr>
            <w:tcW w:w="2384" w:type="dxa"/>
            <w:shd w:val="clear" w:color="000000" w:fill="FFFFFF"/>
            <w:vAlign w:val="center"/>
          </w:tcPr>
          <w:p w14:paraId="69A743DB">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退休费</w:t>
            </w:r>
          </w:p>
        </w:tc>
        <w:tc>
          <w:tcPr>
            <w:tcW w:w="1381" w:type="dxa"/>
            <w:shd w:val="clear" w:color="000000" w:fill="FFFFFF"/>
            <w:vAlign w:val="center"/>
          </w:tcPr>
          <w:p w14:paraId="69F02ED9">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23.02 </w:t>
            </w:r>
          </w:p>
        </w:tc>
        <w:tc>
          <w:tcPr>
            <w:tcW w:w="1596" w:type="dxa"/>
            <w:shd w:val="clear" w:color="000000" w:fill="FFFFFF"/>
            <w:vAlign w:val="center"/>
          </w:tcPr>
          <w:p w14:paraId="4610A24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32.22 </w:t>
            </w:r>
          </w:p>
        </w:tc>
        <w:tc>
          <w:tcPr>
            <w:tcW w:w="1451" w:type="dxa"/>
            <w:shd w:val="clear" w:color="000000" w:fill="FFFFFF"/>
            <w:vAlign w:val="center"/>
          </w:tcPr>
          <w:p w14:paraId="4D642F62">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6ED7E013">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65AE805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23.02 </w:t>
            </w:r>
          </w:p>
        </w:tc>
        <w:tc>
          <w:tcPr>
            <w:tcW w:w="1523" w:type="dxa"/>
            <w:shd w:val="clear" w:color="000000" w:fill="FFFFFF"/>
            <w:vAlign w:val="center"/>
          </w:tcPr>
          <w:p w14:paraId="7BB36D8A">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32.22 </w:t>
            </w:r>
          </w:p>
        </w:tc>
        <w:tc>
          <w:tcPr>
            <w:tcW w:w="1524" w:type="dxa"/>
            <w:shd w:val="clear" w:color="000000" w:fill="FFFFFF"/>
            <w:vAlign w:val="center"/>
          </w:tcPr>
          <w:p w14:paraId="0A3E8536">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9.20 </w:t>
            </w:r>
          </w:p>
        </w:tc>
      </w:tr>
      <w:tr w14:paraId="33C57866">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006AC5A1">
            <w:pPr>
              <w:widowControl/>
              <w:jc w:val="left"/>
              <w:rPr>
                <w:rFonts w:ascii="宋体" w:hAnsi="宋体" w:eastAsia="宋体" w:cs="Tahoma"/>
                <w:color w:val="000000"/>
                <w:kern w:val="0"/>
                <w:sz w:val="20"/>
                <w:szCs w:val="20"/>
              </w:rPr>
            </w:pPr>
          </w:p>
        </w:tc>
        <w:tc>
          <w:tcPr>
            <w:tcW w:w="2384" w:type="dxa"/>
            <w:shd w:val="clear" w:color="000000" w:fill="FFFFFF"/>
            <w:vAlign w:val="center"/>
          </w:tcPr>
          <w:p w14:paraId="56858184">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奖励金</w:t>
            </w:r>
          </w:p>
        </w:tc>
        <w:tc>
          <w:tcPr>
            <w:tcW w:w="1381" w:type="dxa"/>
            <w:shd w:val="clear" w:color="000000" w:fill="FFFFFF"/>
            <w:vAlign w:val="center"/>
          </w:tcPr>
          <w:p w14:paraId="5298FB62">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0.01 </w:t>
            </w:r>
          </w:p>
        </w:tc>
        <w:tc>
          <w:tcPr>
            <w:tcW w:w="1596" w:type="dxa"/>
            <w:shd w:val="clear" w:color="000000" w:fill="FFFFFF"/>
            <w:vAlign w:val="center"/>
          </w:tcPr>
          <w:p w14:paraId="3C3602B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0.14 </w:t>
            </w:r>
          </w:p>
        </w:tc>
        <w:tc>
          <w:tcPr>
            <w:tcW w:w="1451" w:type="dxa"/>
            <w:shd w:val="clear" w:color="000000" w:fill="FFFFFF"/>
            <w:vAlign w:val="center"/>
          </w:tcPr>
          <w:p w14:paraId="655D2E3D">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0237768F">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xml:space="preserve">3.00 </w:t>
            </w:r>
          </w:p>
        </w:tc>
        <w:tc>
          <w:tcPr>
            <w:tcW w:w="1524" w:type="dxa"/>
            <w:shd w:val="clear" w:color="000000" w:fill="FFFFFF"/>
            <w:vAlign w:val="center"/>
          </w:tcPr>
          <w:p w14:paraId="5CFD324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0.01 </w:t>
            </w:r>
          </w:p>
        </w:tc>
        <w:tc>
          <w:tcPr>
            <w:tcW w:w="1523" w:type="dxa"/>
            <w:shd w:val="clear" w:color="000000" w:fill="FFFFFF"/>
            <w:vAlign w:val="center"/>
          </w:tcPr>
          <w:p w14:paraId="2FDEDCE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3.14 </w:t>
            </w:r>
          </w:p>
        </w:tc>
        <w:tc>
          <w:tcPr>
            <w:tcW w:w="1524" w:type="dxa"/>
            <w:shd w:val="clear" w:color="000000" w:fill="FFFFFF"/>
            <w:vAlign w:val="center"/>
          </w:tcPr>
          <w:p w14:paraId="21FA65B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3.13 </w:t>
            </w:r>
          </w:p>
        </w:tc>
      </w:tr>
      <w:tr w14:paraId="26484783">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restart"/>
            <w:shd w:val="clear" w:color="000000" w:fill="FFFFFF"/>
            <w:vAlign w:val="center"/>
          </w:tcPr>
          <w:p w14:paraId="2C71155F">
            <w:pPr>
              <w:widowControl/>
              <w:jc w:val="center"/>
              <w:rPr>
                <w:rFonts w:ascii="宋体" w:hAnsi="宋体" w:eastAsia="宋体" w:cs="Tahoma"/>
                <w:color w:val="000000"/>
                <w:kern w:val="0"/>
                <w:sz w:val="20"/>
                <w:szCs w:val="20"/>
              </w:rPr>
            </w:pPr>
            <w:r>
              <w:rPr>
                <w:rFonts w:hint="eastAsia" w:ascii="宋体" w:hAnsi="宋体" w:eastAsia="宋体" w:cs="Tahoma"/>
                <w:color w:val="000000"/>
                <w:kern w:val="0"/>
                <w:sz w:val="20"/>
                <w:szCs w:val="20"/>
              </w:rPr>
              <w:t>资本性支出</w:t>
            </w:r>
          </w:p>
        </w:tc>
        <w:tc>
          <w:tcPr>
            <w:tcW w:w="2384" w:type="dxa"/>
            <w:shd w:val="clear" w:color="000000" w:fill="FFFFFF"/>
            <w:vAlign w:val="center"/>
          </w:tcPr>
          <w:p w14:paraId="09A849DB">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小计</w:t>
            </w:r>
          </w:p>
        </w:tc>
        <w:tc>
          <w:tcPr>
            <w:tcW w:w="1381" w:type="dxa"/>
            <w:shd w:val="clear" w:color="000000" w:fill="FFFFFF"/>
            <w:vAlign w:val="center"/>
          </w:tcPr>
          <w:p w14:paraId="549845DE">
            <w:pPr>
              <w:widowControl/>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w:t>
            </w:r>
          </w:p>
        </w:tc>
        <w:tc>
          <w:tcPr>
            <w:tcW w:w="1596" w:type="dxa"/>
            <w:shd w:val="clear" w:color="000000" w:fill="FFFFFF"/>
            <w:vAlign w:val="center"/>
          </w:tcPr>
          <w:p w14:paraId="12A1BC9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5.20 </w:t>
            </w:r>
          </w:p>
        </w:tc>
        <w:tc>
          <w:tcPr>
            <w:tcW w:w="1451" w:type="dxa"/>
            <w:shd w:val="clear" w:color="000000" w:fill="FFFFFF"/>
            <w:vAlign w:val="center"/>
          </w:tcPr>
          <w:p w14:paraId="6AD0AE5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2.00 </w:t>
            </w:r>
          </w:p>
        </w:tc>
        <w:tc>
          <w:tcPr>
            <w:tcW w:w="1526" w:type="dxa"/>
            <w:shd w:val="clear" w:color="000000" w:fill="FFFFFF"/>
            <w:vAlign w:val="center"/>
          </w:tcPr>
          <w:p w14:paraId="78378DF0">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4.40 </w:t>
            </w:r>
          </w:p>
        </w:tc>
        <w:tc>
          <w:tcPr>
            <w:tcW w:w="1524" w:type="dxa"/>
            <w:shd w:val="clear" w:color="000000" w:fill="FFFFFF"/>
            <w:vAlign w:val="center"/>
          </w:tcPr>
          <w:p w14:paraId="3BE7820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2.00 </w:t>
            </w:r>
          </w:p>
        </w:tc>
        <w:tc>
          <w:tcPr>
            <w:tcW w:w="1523" w:type="dxa"/>
            <w:shd w:val="clear" w:color="000000" w:fill="FFFFFF"/>
            <w:vAlign w:val="center"/>
          </w:tcPr>
          <w:p w14:paraId="7663BCE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9.60 </w:t>
            </w:r>
          </w:p>
        </w:tc>
        <w:tc>
          <w:tcPr>
            <w:tcW w:w="1524" w:type="dxa"/>
            <w:shd w:val="clear" w:color="000000" w:fill="FFFFFF"/>
            <w:vAlign w:val="center"/>
          </w:tcPr>
          <w:p w14:paraId="06DFA91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7.60 </w:t>
            </w:r>
          </w:p>
        </w:tc>
      </w:tr>
      <w:tr w14:paraId="3D1FD867">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135DFC4E">
            <w:pPr>
              <w:widowControl/>
              <w:jc w:val="left"/>
              <w:rPr>
                <w:rFonts w:ascii="宋体" w:hAnsi="宋体" w:eastAsia="宋体" w:cs="Tahoma"/>
                <w:color w:val="000000"/>
                <w:kern w:val="0"/>
                <w:sz w:val="20"/>
                <w:szCs w:val="20"/>
              </w:rPr>
            </w:pPr>
          </w:p>
        </w:tc>
        <w:tc>
          <w:tcPr>
            <w:tcW w:w="2384" w:type="dxa"/>
            <w:shd w:val="clear" w:color="000000" w:fill="FFFFFF"/>
            <w:vAlign w:val="center"/>
          </w:tcPr>
          <w:p w14:paraId="1AE95B92">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办公设备购置</w:t>
            </w:r>
          </w:p>
        </w:tc>
        <w:tc>
          <w:tcPr>
            <w:tcW w:w="1381" w:type="dxa"/>
            <w:shd w:val="clear" w:color="000000" w:fill="FFFFFF"/>
            <w:vAlign w:val="center"/>
          </w:tcPr>
          <w:p w14:paraId="1E41AD0B">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3E0BC9AD">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5167FDA1">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4D6439DE">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4.40 </w:t>
            </w:r>
          </w:p>
        </w:tc>
        <w:tc>
          <w:tcPr>
            <w:tcW w:w="1524" w:type="dxa"/>
            <w:shd w:val="clear" w:color="000000" w:fill="FFFFFF"/>
            <w:vAlign w:val="center"/>
          </w:tcPr>
          <w:p w14:paraId="320FF003">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   </w:t>
            </w:r>
          </w:p>
        </w:tc>
        <w:tc>
          <w:tcPr>
            <w:tcW w:w="1523" w:type="dxa"/>
            <w:shd w:val="clear" w:color="000000" w:fill="FFFFFF"/>
            <w:vAlign w:val="center"/>
          </w:tcPr>
          <w:p w14:paraId="262C5FA8">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4.40 </w:t>
            </w:r>
          </w:p>
        </w:tc>
        <w:tc>
          <w:tcPr>
            <w:tcW w:w="1524" w:type="dxa"/>
            <w:shd w:val="clear" w:color="000000" w:fill="FFFFFF"/>
            <w:vAlign w:val="center"/>
          </w:tcPr>
          <w:p w14:paraId="18824DA6">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4.40 </w:t>
            </w:r>
          </w:p>
        </w:tc>
      </w:tr>
      <w:tr w14:paraId="43AAF1BE">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55EE7EBC">
            <w:pPr>
              <w:widowControl/>
              <w:jc w:val="left"/>
              <w:rPr>
                <w:rFonts w:ascii="宋体" w:hAnsi="宋体" w:eastAsia="宋体" w:cs="Tahoma"/>
                <w:color w:val="000000"/>
                <w:kern w:val="0"/>
                <w:sz w:val="20"/>
                <w:szCs w:val="20"/>
              </w:rPr>
            </w:pPr>
          </w:p>
        </w:tc>
        <w:tc>
          <w:tcPr>
            <w:tcW w:w="2384" w:type="dxa"/>
            <w:shd w:val="clear" w:color="000000" w:fill="FFFFFF"/>
            <w:vAlign w:val="center"/>
          </w:tcPr>
          <w:p w14:paraId="3FAD29B1">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专用设备购置</w:t>
            </w:r>
          </w:p>
        </w:tc>
        <w:tc>
          <w:tcPr>
            <w:tcW w:w="1381" w:type="dxa"/>
            <w:shd w:val="clear" w:color="000000" w:fill="FFFFFF"/>
            <w:vAlign w:val="center"/>
          </w:tcPr>
          <w:p w14:paraId="23A97F6E">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2835FBF9">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5.20 </w:t>
            </w:r>
          </w:p>
        </w:tc>
        <w:tc>
          <w:tcPr>
            <w:tcW w:w="1451" w:type="dxa"/>
            <w:shd w:val="clear" w:color="000000" w:fill="FFFFFF"/>
            <w:vAlign w:val="center"/>
          </w:tcPr>
          <w:p w14:paraId="0544C543">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6" w:type="dxa"/>
            <w:shd w:val="clear" w:color="000000" w:fill="FFFFFF"/>
            <w:vAlign w:val="center"/>
          </w:tcPr>
          <w:p w14:paraId="5A0336B9">
            <w:pPr>
              <w:widowControl/>
              <w:ind w:right="105"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09B48F17">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   </w:t>
            </w:r>
          </w:p>
        </w:tc>
        <w:tc>
          <w:tcPr>
            <w:tcW w:w="1523" w:type="dxa"/>
            <w:shd w:val="clear" w:color="000000" w:fill="FFFFFF"/>
            <w:vAlign w:val="center"/>
          </w:tcPr>
          <w:p w14:paraId="55D7167F">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5.20 </w:t>
            </w:r>
          </w:p>
        </w:tc>
        <w:tc>
          <w:tcPr>
            <w:tcW w:w="1524" w:type="dxa"/>
            <w:shd w:val="clear" w:color="000000" w:fill="FFFFFF"/>
            <w:vAlign w:val="center"/>
          </w:tcPr>
          <w:p w14:paraId="297D3EB9">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5.20 </w:t>
            </w:r>
          </w:p>
        </w:tc>
      </w:tr>
      <w:tr w14:paraId="01952469">
        <w:tblPrEx>
          <w:tblBorders>
            <w:top w:val="single" w:color="auto" w:sz="8" w:space="0"/>
            <w:left w:val="single" w:color="auto"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4" w:hRule="atLeast"/>
        </w:trPr>
        <w:tc>
          <w:tcPr>
            <w:tcW w:w="1175" w:type="dxa"/>
            <w:vMerge w:val="continue"/>
            <w:vAlign w:val="center"/>
          </w:tcPr>
          <w:p w14:paraId="1AA07F21">
            <w:pPr>
              <w:widowControl/>
              <w:jc w:val="left"/>
              <w:rPr>
                <w:rFonts w:ascii="宋体" w:hAnsi="宋体" w:eastAsia="宋体" w:cs="Tahoma"/>
                <w:color w:val="000000"/>
                <w:kern w:val="0"/>
                <w:sz w:val="20"/>
                <w:szCs w:val="20"/>
              </w:rPr>
            </w:pPr>
          </w:p>
        </w:tc>
        <w:tc>
          <w:tcPr>
            <w:tcW w:w="2384" w:type="dxa"/>
            <w:shd w:val="clear" w:color="000000" w:fill="FFFFFF"/>
            <w:vAlign w:val="center"/>
          </w:tcPr>
          <w:p w14:paraId="798AB727">
            <w:pPr>
              <w:widowControl/>
              <w:jc w:val="left"/>
              <w:rPr>
                <w:rFonts w:ascii="宋体" w:hAnsi="宋体" w:eastAsia="宋体" w:cs="Tahoma"/>
                <w:color w:val="000000"/>
                <w:kern w:val="0"/>
                <w:sz w:val="20"/>
                <w:szCs w:val="20"/>
              </w:rPr>
            </w:pPr>
            <w:r>
              <w:rPr>
                <w:rFonts w:hint="eastAsia" w:ascii="宋体" w:hAnsi="宋体" w:eastAsia="宋体" w:cs="Tahoma"/>
                <w:color w:val="000000"/>
                <w:kern w:val="0"/>
                <w:sz w:val="20"/>
                <w:szCs w:val="20"/>
              </w:rPr>
              <w:t>其他资本性支出</w:t>
            </w:r>
          </w:p>
        </w:tc>
        <w:tc>
          <w:tcPr>
            <w:tcW w:w="1381" w:type="dxa"/>
            <w:shd w:val="clear" w:color="000000" w:fill="FFFFFF"/>
            <w:vAlign w:val="center"/>
          </w:tcPr>
          <w:p w14:paraId="352EDFA1">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96" w:type="dxa"/>
            <w:shd w:val="clear" w:color="000000" w:fill="FFFFFF"/>
            <w:vAlign w:val="center"/>
          </w:tcPr>
          <w:p w14:paraId="575E1DCF">
            <w:pPr>
              <w:widowControl/>
              <w:ind w:firstLine="480" w:firstLineChars="200"/>
              <w:jc w:val="righ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451" w:type="dxa"/>
            <w:shd w:val="clear" w:color="000000" w:fill="FFFFFF"/>
            <w:vAlign w:val="center"/>
          </w:tcPr>
          <w:p w14:paraId="20AE79B5">
            <w:pPr>
              <w:widowControl/>
              <w:jc w:val="center"/>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2.00 </w:t>
            </w:r>
          </w:p>
        </w:tc>
        <w:tc>
          <w:tcPr>
            <w:tcW w:w="1526" w:type="dxa"/>
            <w:shd w:val="clear" w:color="000000" w:fill="FFFFFF"/>
            <w:vAlign w:val="center"/>
          </w:tcPr>
          <w:p w14:paraId="1EFDD24A">
            <w:pPr>
              <w:widowControl/>
              <w:jc w:val="lef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500C181D">
            <w:pPr>
              <w:widowControl/>
              <w:jc w:val="center"/>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2.00 </w:t>
            </w:r>
          </w:p>
        </w:tc>
        <w:tc>
          <w:tcPr>
            <w:tcW w:w="1523" w:type="dxa"/>
            <w:shd w:val="clear" w:color="000000" w:fill="FFFFFF"/>
            <w:vAlign w:val="center"/>
          </w:tcPr>
          <w:p w14:paraId="5316B12D">
            <w:pPr>
              <w:widowControl/>
              <w:jc w:val="left"/>
              <w:rPr>
                <w:rFonts w:ascii="宋体" w:hAnsi="宋体" w:eastAsia="宋体" w:cs="Tahoma"/>
                <w:color w:val="000000"/>
                <w:kern w:val="0"/>
                <w:sz w:val="24"/>
                <w:szCs w:val="24"/>
              </w:rPr>
            </w:pPr>
            <w:r>
              <w:rPr>
                <w:rFonts w:hint="eastAsia" w:ascii="宋体" w:hAnsi="宋体" w:eastAsia="宋体" w:cs="Tahoma"/>
                <w:color w:val="000000"/>
                <w:kern w:val="0"/>
                <w:sz w:val="24"/>
                <w:szCs w:val="24"/>
              </w:rPr>
              <w:t>　</w:t>
            </w:r>
          </w:p>
        </w:tc>
        <w:tc>
          <w:tcPr>
            <w:tcW w:w="1524" w:type="dxa"/>
            <w:shd w:val="clear" w:color="000000" w:fill="FFFFFF"/>
            <w:vAlign w:val="center"/>
          </w:tcPr>
          <w:p w14:paraId="2E659255">
            <w:pPr>
              <w:widowControl/>
              <w:ind w:firstLine="480" w:firstLineChars="200"/>
              <w:jc w:val="right"/>
              <w:rPr>
                <w:rFonts w:ascii="Arial Narrow" w:hAnsi="Arial Narrow" w:eastAsia="宋体" w:cs="Tahoma"/>
                <w:color w:val="000000"/>
                <w:kern w:val="0"/>
                <w:sz w:val="24"/>
                <w:szCs w:val="24"/>
              </w:rPr>
            </w:pPr>
            <w:r>
              <w:rPr>
                <w:rFonts w:ascii="Arial Narrow" w:hAnsi="Arial Narrow" w:eastAsia="宋体" w:cs="Tahoma"/>
                <w:color w:val="000000"/>
                <w:kern w:val="0"/>
                <w:sz w:val="24"/>
                <w:szCs w:val="24"/>
              </w:rPr>
              <w:t xml:space="preserve">-2.00 </w:t>
            </w:r>
          </w:p>
        </w:tc>
      </w:tr>
    </w:tbl>
    <w:p w14:paraId="1242CAB9">
      <w:pPr>
        <w:spacing w:line="360" w:lineRule="auto"/>
        <w:ind w:right="560"/>
        <w:rPr>
          <w:rFonts w:ascii="宋体" w:hAnsi="宋体" w:eastAsia="宋体"/>
          <w:sz w:val="28"/>
          <w:szCs w:val="28"/>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altName w:val="Arial"/>
    <w:panose1 w:val="020B0606020202030204"/>
    <w:charset w:val="00"/>
    <w:family w:val="swiss"/>
    <w:pitch w:val="default"/>
    <w:sig w:usb0="00000000" w:usb1="00000000" w:usb2="00000000" w:usb3="00000000" w:csb0="0000009F" w:csb1="00000000"/>
  </w:font>
  <w:font w:name="瀹嬩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37845">
    <w:pPr>
      <w:pStyle w:val="11"/>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FB28B">
    <w:pPr>
      <w:pStyle w:val="11"/>
      <w:jc w:val="center"/>
    </w:pPr>
    <w:r>
      <w:fldChar w:fldCharType="begin"/>
    </w:r>
    <w:r>
      <w:instrText xml:space="preserve"> PAGE   \* MERGEFORMAT </w:instrText>
    </w:r>
    <w:r>
      <w:fldChar w:fldCharType="separate"/>
    </w:r>
    <w:r>
      <w:rPr>
        <w:lang w:val="zh-CN"/>
      </w:rPr>
      <w:t>5</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2654614"/>
    </w:sdtPr>
    <w:sdtContent>
      <w:p w14:paraId="3E4610F4">
        <w:pPr>
          <w:pStyle w:val="11"/>
          <w:jc w:val="center"/>
        </w:pPr>
        <w:r>
          <w:fldChar w:fldCharType="begin"/>
        </w:r>
        <w:r>
          <w:instrText xml:space="preserve"> PAGE   \* MERGEFORMAT </w:instrText>
        </w:r>
        <w:r>
          <w:fldChar w:fldCharType="separate"/>
        </w:r>
        <w:r>
          <w:rPr>
            <w:lang w:val="zh-CN"/>
          </w:rPr>
          <w:t>1</w:t>
        </w:r>
        <w:r>
          <w:rPr>
            <w:lang w:val="zh-CN"/>
          </w:rPr>
          <w:fldChar w:fldCharType="end"/>
        </w:r>
      </w:p>
    </w:sdtContent>
  </w:sdt>
  <w:p w14:paraId="5BE5267C">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73776C">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Q3ZGNlOTgxNjAxNzUyNWQzNjk1ZTk1ZTkzYjBjMjIifQ=="/>
  </w:docVars>
  <w:rsids>
    <w:rsidRoot w:val="00BD39C1"/>
    <w:rsid w:val="00003EFA"/>
    <w:rsid w:val="00005874"/>
    <w:rsid w:val="00012FDA"/>
    <w:rsid w:val="00016683"/>
    <w:rsid w:val="00016720"/>
    <w:rsid w:val="00017A8C"/>
    <w:rsid w:val="0002510A"/>
    <w:rsid w:val="00033EFA"/>
    <w:rsid w:val="000340CF"/>
    <w:rsid w:val="0003413E"/>
    <w:rsid w:val="0003653D"/>
    <w:rsid w:val="00046E15"/>
    <w:rsid w:val="0005015E"/>
    <w:rsid w:val="00050E8F"/>
    <w:rsid w:val="00053F58"/>
    <w:rsid w:val="000566FB"/>
    <w:rsid w:val="0005700D"/>
    <w:rsid w:val="0006015A"/>
    <w:rsid w:val="00061946"/>
    <w:rsid w:val="00061DD8"/>
    <w:rsid w:val="000664BE"/>
    <w:rsid w:val="00067FEB"/>
    <w:rsid w:val="000749F3"/>
    <w:rsid w:val="00076004"/>
    <w:rsid w:val="00076602"/>
    <w:rsid w:val="00076A7E"/>
    <w:rsid w:val="00080285"/>
    <w:rsid w:val="00094CBF"/>
    <w:rsid w:val="00095C07"/>
    <w:rsid w:val="000964DA"/>
    <w:rsid w:val="000A0AA5"/>
    <w:rsid w:val="000A454E"/>
    <w:rsid w:val="000B4981"/>
    <w:rsid w:val="000B4FA1"/>
    <w:rsid w:val="000B5F95"/>
    <w:rsid w:val="000B72C8"/>
    <w:rsid w:val="000C577F"/>
    <w:rsid w:val="000C6A6C"/>
    <w:rsid w:val="000C6B25"/>
    <w:rsid w:val="000D3128"/>
    <w:rsid w:val="000D3132"/>
    <w:rsid w:val="000D3552"/>
    <w:rsid w:val="000D4414"/>
    <w:rsid w:val="000D6617"/>
    <w:rsid w:val="000E145E"/>
    <w:rsid w:val="000E1EA5"/>
    <w:rsid w:val="000E4880"/>
    <w:rsid w:val="000E4B8D"/>
    <w:rsid w:val="000E622B"/>
    <w:rsid w:val="000F102E"/>
    <w:rsid w:val="000F1B4D"/>
    <w:rsid w:val="000F1CBE"/>
    <w:rsid w:val="000F25CF"/>
    <w:rsid w:val="000F5877"/>
    <w:rsid w:val="0010308F"/>
    <w:rsid w:val="00110B36"/>
    <w:rsid w:val="00112A9D"/>
    <w:rsid w:val="00127A6B"/>
    <w:rsid w:val="00133180"/>
    <w:rsid w:val="00133D3E"/>
    <w:rsid w:val="0013636F"/>
    <w:rsid w:val="001433BF"/>
    <w:rsid w:val="00145293"/>
    <w:rsid w:val="00146696"/>
    <w:rsid w:val="0014672B"/>
    <w:rsid w:val="00150215"/>
    <w:rsid w:val="001517C2"/>
    <w:rsid w:val="00152064"/>
    <w:rsid w:val="00157073"/>
    <w:rsid w:val="001606CB"/>
    <w:rsid w:val="00160933"/>
    <w:rsid w:val="0016193A"/>
    <w:rsid w:val="00161CAD"/>
    <w:rsid w:val="00163441"/>
    <w:rsid w:val="00165560"/>
    <w:rsid w:val="001658B2"/>
    <w:rsid w:val="00172EFB"/>
    <w:rsid w:val="00174368"/>
    <w:rsid w:val="00174528"/>
    <w:rsid w:val="0017586F"/>
    <w:rsid w:val="0017649A"/>
    <w:rsid w:val="001771C8"/>
    <w:rsid w:val="00177E5E"/>
    <w:rsid w:val="00181FEB"/>
    <w:rsid w:val="00182860"/>
    <w:rsid w:val="00182FAC"/>
    <w:rsid w:val="00183D30"/>
    <w:rsid w:val="00184CAD"/>
    <w:rsid w:val="001917C7"/>
    <w:rsid w:val="00192749"/>
    <w:rsid w:val="00194225"/>
    <w:rsid w:val="001942D1"/>
    <w:rsid w:val="001943AC"/>
    <w:rsid w:val="001947F5"/>
    <w:rsid w:val="001A26A9"/>
    <w:rsid w:val="001B412C"/>
    <w:rsid w:val="001B4400"/>
    <w:rsid w:val="001B7017"/>
    <w:rsid w:val="001B7FDF"/>
    <w:rsid w:val="001C004B"/>
    <w:rsid w:val="001C3431"/>
    <w:rsid w:val="001C366B"/>
    <w:rsid w:val="001C4958"/>
    <w:rsid w:val="001C52D7"/>
    <w:rsid w:val="001C64B4"/>
    <w:rsid w:val="001D142A"/>
    <w:rsid w:val="001D28CB"/>
    <w:rsid w:val="001D418B"/>
    <w:rsid w:val="001D57AE"/>
    <w:rsid w:val="001E1715"/>
    <w:rsid w:val="001E2325"/>
    <w:rsid w:val="001E29AC"/>
    <w:rsid w:val="001F0A54"/>
    <w:rsid w:val="001F5C54"/>
    <w:rsid w:val="001F63BE"/>
    <w:rsid w:val="00204217"/>
    <w:rsid w:val="002053D7"/>
    <w:rsid w:val="002054F0"/>
    <w:rsid w:val="00205820"/>
    <w:rsid w:val="0020586E"/>
    <w:rsid w:val="00207F1A"/>
    <w:rsid w:val="00213964"/>
    <w:rsid w:val="00221BF8"/>
    <w:rsid w:val="002230F2"/>
    <w:rsid w:val="00227AEB"/>
    <w:rsid w:val="002307DE"/>
    <w:rsid w:val="00230BD3"/>
    <w:rsid w:val="00230E35"/>
    <w:rsid w:val="00232099"/>
    <w:rsid w:val="00233BF0"/>
    <w:rsid w:val="002340D5"/>
    <w:rsid w:val="002355A9"/>
    <w:rsid w:val="00235B96"/>
    <w:rsid w:val="00240530"/>
    <w:rsid w:val="00240BDF"/>
    <w:rsid w:val="00242696"/>
    <w:rsid w:val="00245946"/>
    <w:rsid w:val="002513B9"/>
    <w:rsid w:val="00251765"/>
    <w:rsid w:val="00255941"/>
    <w:rsid w:val="002575C5"/>
    <w:rsid w:val="002613CA"/>
    <w:rsid w:val="002614C2"/>
    <w:rsid w:val="00261C2C"/>
    <w:rsid w:val="00265525"/>
    <w:rsid w:val="002659C9"/>
    <w:rsid w:val="00265ED5"/>
    <w:rsid w:val="00266404"/>
    <w:rsid w:val="002816FF"/>
    <w:rsid w:val="00281B02"/>
    <w:rsid w:val="00282814"/>
    <w:rsid w:val="0028396D"/>
    <w:rsid w:val="00283A30"/>
    <w:rsid w:val="002859ED"/>
    <w:rsid w:val="00287BEF"/>
    <w:rsid w:val="00291FBB"/>
    <w:rsid w:val="002959E9"/>
    <w:rsid w:val="002978A2"/>
    <w:rsid w:val="002A2605"/>
    <w:rsid w:val="002A797D"/>
    <w:rsid w:val="002B14CC"/>
    <w:rsid w:val="002B2A74"/>
    <w:rsid w:val="002B32C7"/>
    <w:rsid w:val="002B3AB0"/>
    <w:rsid w:val="002B4C17"/>
    <w:rsid w:val="002C0429"/>
    <w:rsid w:val="002C3454"/>
    <w:rsid w:val="002C35D6"/>
    <w:rsid w:val="002C4AFE"/>
    <w:rsid w:val="002C5731"/>
    <w:rsid w:val="002D65D0"/>
    <w:rsid w:val="002D67AA"/>
    <w:rsid w:val="002D7BF4"/>
    <w:rsid w:val="002E0508"/>
    <w:rsid w:val="002E5451"/>
    <w:rsid w:val="002E56ED"/>
    <w:rsid w:val="002E66BE"/>
    <w:rsid w:val="002E7CF8"/>
    <w:rsid w:val="002F0000"/>
    <w:rsid w:val="002F10F9"/>
    <w:rsid w:val="002F1786"/>
    <w:rsid w:val="0030247C"/>
    <w:rsid w:val="0030368D"/>
    <w:rsid w:val="00307077"/>
    <w:rsid w:val="00307F95"/>
    <w:rsid w:val="00311AE2"/>
    <w:rsid w:val="003156CA"/>
    <w:rsid w:val="003175E3"/>
    <w:rsid w:val="00320054"/>
    <w:rsid w:val="00322CF2"/>
    <w:rsid w:val="00324D06"/>
    <w:rsid w:val="00326927"/>
    <w:rsid w:val="00327697"/>
    <w:rsid w:val="003277D8"/>
    <w:rsid w:val="00331437"/>
    <w:rsid w:val="00331E34"/>
    <w:rsid w:val="003337B1"/>
    <w:rsid w:val="00347836"/>
    <w:rsid w:val="00350BED"/>
    <w:rsid w:val="00350CE1"/>
    <w:rsid w:val="00351D44"/>
    <w:rsid w:val="003544A7"/>
    <w:rsid w:val="00355BD9"/>
    <w:rsid w:val="0036015F"/>
    <w:rsid w:val="00363682"/>
    <w:rsid w:val="0036395B"/>
    <w:rsid w:val="00363B74"/>
    <w:rsid w:val="00365182"/>
    <w:rsid w:val="00365D86"/>
    <w:rsid w:val="00373EA0"/>
    <w:rsid w:val="00373F9E"/>
    <w:rsid w:val="00374C8D"/>
    <w:rsid w:val="00375A3D"/>
    <w:rsid w:val="00385E20"/>
    <w:rsid w:val="00387D60"/>
    <w:rsid w:val="00391652"/>
    <w:rsid w:val="00391CFB"/>
    <w:rsid w:val="00392A0C"/>
    <w:rsid w:val="00394ECE"/>
    <w:rsid w:val="003A00D3"/>
    <w:rsid w:val="003A0C4F"/>
    <w:rsid w:val="003B2CB7"/>
    <w:rsid w:val="003B2EC3"/>
    <w:rsid w:val="003B3754"/>
    <w:rsid w:val="003C1AF9"/>
    <w:rsid w:val="003C1D7C"/>
    <w:rsid w:val="003C44C5"/>
    <w:rsid w:val="003C4DC2"/>
    <w:rsid w:val="003C4E66"/>
    <w:rsid w:val="003C7E2D"/>
    <w:rsid w:val="003D242A"/>
    <w:rsid w:val="003D2CD4"/>
    <w:rsid w:val="003D7C45"/>
    <w:rsid w:val="003E019E"/>
    <w:rsid w:val="003E1522"/>
    <w:rsid w:val="003E3C83"/>
    <w:rsid w:val="003E4861"/>
    <w:rsid w:val="003E7412"/>
    <w:rsid w:val="003F79B0"/>
    <w:rsid w:val="00401B2B"/>
    <w:rsid w:val="00406BBC"/>
    <w:rsid w:val="0041174B"/>
    <w:rsid w:val="004117F5"/>
    <w:rsid w:val="00414E27"/>
    <w:rsid w:val="004168FF"/>
    <w:rsid w:val="004236CC"/>
    <w:rsid w:val="004257C9"/>
    <w:rsid w:val="004354E5"/>
    <w:rsid w:val="00440E95"/>
    <w:rsid w:val="00441C8B"/>
    <w:rsid w:val="00442BCB"/>
    <w:rsid w:val="0045026E"/>
    <w:rsid w:val="00454694"/>
    <w:rsid w:val="004673C6"/>
    <w:rsid w:val="004753CC"/>
    <w:rsid w:val="00483B08"/>
    <w:rsid w:val="00491812"/>
    <w:rsid w:val="0049388D"/>
    <w:rsid w:val="0049474E"/>
    <w:rsid w:val="00494B39"/>
    <w:rsid w:val="00495513"/>
    <w:rsid w:val="004A53AA"/>
    <w:rsid w:val="004A5915"/>
    <w:rsid w:val="004A622B"/>
    <w:rsid w:val="004B3A67"/>
    <w:rsid w:val="004B4877"/>
    <w:rsid w:val="004C1FE5"/>
    <w:rsid w:val="004C3144"/>
    <w:rsid w:val="004C68E2"/>
    <w:rsid w:val="004C737A"/>
    <w:rsid w:val="004C79AB"/>
    <w:rsid w:val="004D15F4"/>
    <w:rsid w:val="004D395F"/>
    <w:rsid w:val="004D3A26"/>
    <w:rsid w:val="004D477B"/>
    <w:rsid w:val="004D5527"/>
    <w:rsid w:val="004D581B"/>
    <w:rsid w:val="004D77D4"/>
    <w:rsid w:val="004E0066"/>
    <w:rsid w:val="004E13D4"/>
    <w:rsid w:val="004E5369"/>
    <w:rsid w:val="004E6271"/>
    <w:rsid w:val="004F6115"/>
    <w:rsid w:val="00502376"/>
    <w:rsid w:val="00503007"/>
    <w:rsid w:val="005037D5"/>
    <w:rsid w:val="00504F3D"/>
    <w:rsid w:val="005076DE"/>
    <w:rsid w:val="00511224"/>
    <w:rsid w:val="005120D6"/>
    <w:rsid w:val="00524AEC"/>
    <w:rsid w:val="00530C1A"/>
    <w:rsid w:val="0053404B"/>
    <w:rsid w:val="00545DAE"/>
    <w:rsid w:val="005543B6"/>
    <w:rsid w:val="005579F6"/>
    <w:rsid w:val="00560037"/>
    <w:rsid w:val="0056052A"/>
    <w:rsid w:val="00560A18"/>
    <w:rsid w:val="0056176F"/>
    <w:rsid w:val="0057242B"/>
    <w:rsid w:val="0057312D"/>
    <w:rsid w:val="005733E6"/>
    <w:rsid w:val="005777C3"/>
    <w:rsid w:val="00581E1B"/>
    <w:rsid w:val="005877C1"/>
    <w:rsid w:val="0059334F"/>
    <w:rsid w:val="00594972"/>
    <w:rsid w:val="005A163E"/>
    <w:rsid w:val="005A3E7B"/>
    <w:rsid w:val="005B16A7"/>
    <w:rsid w:val="005B7A49"/>
    <w:rsid w:val="005C00CC"/>
    <w:rsid w:val="005C14D1"/>
    <w:rsid w:val="005C30B6"/>
    <w:rsid w:val="005C5C62"/>
    <w:rsid w:val="005C5CBD"/>
    <w:rsid w:val="005C7983"/>
    <w:rsid w:val="005D043E"/>
    <w:rsid w:val="005D2886"/>
    <w:rsid w:val="005D39E8"/>
    <w:rsid w:val="005D4D2D"/>
    <w:rsid w:val="005E484E"/>
    <w:rsid w:val="005E6289"/>
    <w:rsid w:val="005F265A"/>
    <w:rsid w:val="005F375E"/>
    <w:rsid w:val="005F4E12"/>
    <w:rsid w:val="005F7968"/>
    <w:rsid w:val="00606EF5"/>
    <w:rsid w:val="006110FE"/>
    <w:rsid w:val="0061369A"/>
    <w:rsid w:val="00621B46"/>
    <w:rsid w:val="00623857"/>
    <w:rsid w:val="00633AAE"/>
    <w:rsid w:val="006415F7"/>
    <w:rsid w:val="0064678D"/>
    <w:rsid w:val="006515FD"/>
    <w:rsid w:val="006536C2"/>
    <w:rsid w:val="006658E4"/>
    <w:rsid w:val="00670510"/>
    <w:rsid w:val="006771F4"/>
    <w:rsid w:val="00680040"/>
    <w:rsid w:val="00680BB4"/>
    <w:rsid w:val="006811C9"/>
    <w:rsid w:val="006862C3"/>
    <w:rsid w:val="00692E5C"/>
    <w:rsid w:val="006974E1"/>
    <w:rsid w:val="006A0261"/>
    <w:rsid w:val="006A47FD"/>
    <w:rsid w:val="006A5137"/>
    <w:rsid w:val="006A572F"/>
    <w:rsid w:val="006B5FD3"/>
    <w:rsid w:val="006B61D2"/>
    <w:rsid w:val="006B6736"/>
    <w:rsid w:val="006B7388"/>
    <w:rsid w:val="006C32D7"/>
    <w:rsid w:val="006C45B4"/>
    <w:rsid w:val="006C5D13"/>
    <w:rsid w:val="006C5D2D"/>
    <w:rsid w:val="006C6FD0"/>
    <w:rsid w:val="006D028B"/>
    <w:rsid w:val="006D2B9E"/>
    <w:rsid w:val="006D769E"/>
    <w:rsid w:val="006E1209"/>
    <w:rsid w:val="006E47F8"/>
    <w:rsid w:val="006E4B2C"/>
    <w:rsid w:val="006E6113"/>
    <w:rsid w:val="006E6982"/>
    <w:rsid w:val="006F107E"/>
    <w:rsid w:val="006F2E94"/>
    <w:rsid w:val="006F7468"/>
    <w:rsid w:val="00700C87"/>
    <w:rsid w:val="00700D8B"/>
    <w:rsid w:val="00702578"/>
    <w:rsid w:val="007025DC"/>
    <w:rsid w:val="00705E0F"/>
    <w:rsid w:val="00706475"/>
    <w:rsid w:val="00711A51"/>
    <w:rsid w:val="007152CA"/>
    <w:rsid w:val="00716082"/>
    <w:rsid w:val="0072123E"/>
    <w:rsid w:val="007215C6"/>
    <w:rsid w:val="00724238"/>
    <w:rsid w:val="00725C23"/>
    <w:rsid w:val="00732A00"/>
    <w:rsid w:val="00734F74"/>
    <w:rsid w:val="00737277"/>
    <w:rsid w:val="00737C18"/>
    <w:rsid w:val="00737F6C"/>
    <w:rsid w:val="00743779"/>
    <w:rsid w:val="00744B7A"/>
    <w:rsid w:val="00745765"/>
    <w:rsid w:val="00750186"/>
    <w:rsid w:val="00755308"/>
    <w:rsid w:val="00755923"/>
    <w:rsid w:val="0076061F"/>
    <w:rsid w:val="00767196"/>
    <w:rsid w:val="00770171"/>
    <w:rsid w:val="00776F44"/>
    <w:rsid w:val="00785629"/>
    <w:rsid w:val="00796116"/>
    <w:rsid w:val="00797797"/>
    <w:rsid w:val="007A1D45"/>
    <w:rsid w:val="007A5CB3"/>
    <w:rsid w:val="007A7F97"/>
    <w:rsid w:val="007B1C00"/>
    <w:rsid w:val="007B2BB2"/>
    <w:rsid w:val="007B5E2D"/>
    <w:rsid w:val="007C18D0"/>
    <w:rsid w:val="007C192F"/>
    <w:rsid w:val="007C25A7"/>
    <w:rsid w:val="007C3D3A"/>
    <w:rsid w:val="007C46E7"/>
    <w:rsid w:val="007D0235"/>
    <w:rsid w:val="007D6214"/>
    <w:rsid w:val="007D6B80"/>
    <w:rsid w:val="007D74BF"/>
    <w:rsid w:val="007E0332"/>
    <w:rsid w:val="007E4A18"/>
    <w:rsid w:val="007E5BF9"/>
    <w:rsid w:val="007F1FAE"/>
    <w:rsid w:val="007F21A4"/>
    <w:rsid w:val="007F3876"/>
    <w:rsid w:val="008001A0"/>
    <w:rsid w:val="00800DA7"/>
    <w:rsid w:val="00800FC4"/>
    <w:rsid w:val="0080657B"/>
    <w:rsid w:val="0080666D"/>
    <w:rsid w:val="00811122"/>
    <w:rsid w:val="008236B4"/>
    <w:rsid w:val="0082433E"/>
    <w:rsid w:val="00830E3D"/>
    <w:rsid w:val="008357C8"/>
    <w:rsid w:val="00840A8E"/>
    <w:rsid w:val="0084774A"/>
    <w:rsid w:val="00850901"/>
    <w:rsid w:val="00854516"/>
    <w:rsid w:val="0085793E"/>
    <w:rsid w:val="00860B64"/>
    <w:rsid w:val="00862C82"/>
    <w:rsid w:val="00870D54"/>
    <w:rsid w:val="00871155"/>
    <w:rsid w:val="00872279"/>
    <w:rsid w:val="00872E1B"/>
    <w:rsid w:val="00876CBC"/>
    <w:rsid w:val="0089261E"/>
    <w:rsid w:val="008930D0"/>
    <w:rsid w:val="0089371B"/>
    <w:rsid w:val="00893F2C"/>
    <w:rsid w:val="00897550"/>
    <w:rsid w:val="008A05F4"/>
    <w:rsid w:val="008A6489"/>
    <w:rsid w:val="008A6F6D"/>
    <w:rsid w:val="008A7F14"/>
    <w:rsid w:val="008B1059"/>
    <w:rsid w:val="008B2F4B"/>
    <w:rsid w:val="008B49EA"/>
    <w:rsid w:val="008B7208"/>
    <w:rsid w:val="008C0440"/>
    <w:rsid w:val="008C2776"/>
    <w:rsid w:val="008C3EB5"/>
    <w:rsid w:val="008C52EB"/>
    <w:rsid w:val="008D1085"/>
    <w:rsid w:val="008D2DBC"/>
    <w:rsid w:val="008D36E3"/>
    <w:rsid w:val="008D3B4E"/>
    <w:rsid w:val="008D45A2"/>
    <w:rsid w:val="008D67FD"/>
    <w:rsid w:val="008E1782"/>
    <w:rsid w:val="008E1CE5"/>
    <w:rsid w:val="008E4FB7"/>
    <w:rsid w:val="008E7587"/>
    <w:rsid w:val="008E7BB1"/>
    <w:rsid w:val="008F416D"/>
    <w:rsid w:val="00903D6B"/>
    <w:rsid w:val="00903FA7"/>
    <w:rsid w:val="00910A5E"/>
    <w:rsid w:val="00913B35"/>
    <w:rsid w:val="009161F4"/>
    <w:rsid w:val="009228BD"/>
    <w:rsid w:val="009260FE"/>
    <w:rsid w:val="009269EF"/>
    <w:rsid w:val="00926A3F"/>
    <w:rsid w:val="009270DB"/>
    <w:rsid w:val="00930BE2"/>
    <w:rsid w:val="00936B78"/>
    <w:rsid w:val="009434CE"/>
    <w:rsid w:val="00947A89"/>
    <w:rsid w:val="009503F6"/>
    <w:rsid w:val="00951C5D"/>
    <w:rsid w:val="00953FAF"/>
    <w:rsid w:val="009675E5"/>
    <w:rsid w:val="00974F3B"/>
    <w:rsid w:val="009833F2"/>
    <w:rsid w:val="00983C5D"/>
    <w:rsid w:val="00984DCB"/>
    <w:rsid w:val="00987E61"/>
    <w:rsid w:val="009913EF"/>
    <w:rsid w:val="0099262E"/>
    <w:rsid w:val="0099448B"/>
    <w:rsid w:val="00994530"/>
    <w:rsid w:val="009A7742"/>
    <w:rsid w:val="009B0C91"/>
    <w:rsid w:val="009B50AD"/>
    <w:rsid w:val="009B603B"/>
    <w:rsid w:val="009B67E5"/>
    <w:rsid w:val="009C1D12"/>
    <w:rsid w:val="009D2DC3"/>
    <w:rsid w:val="009D3E44"/>
    <w:rsid w:val="009E1D7F"/>
    <w:rsid w:val="009E2F35"/>
    <w:rsid w:val="009E5B0E"/>
    <w:rsid w:val="009F1439"/>
    <w:rsid w:val="009F1FEA"/>
    <w:rsid w:val="009F4604"/>
    <w:rsid w:val="009F4615"/>
    <w:rsid w:val="00A067F7"/>
    <w:rsid w:val="00A12B59"/>
    <w:rsid w:val="00A134A0"/>
    <w:rsid w:val="00A24CD6"/>
    <w:rsid w:val="00A27883"/>
    <w:rsid w:val="00A27C9E"/>
    <w:rsid w:val="00A3428E"/>
    <w:rsid w:val="00A34546"/>
    <w:rsid w:val="00A42B6E"/>
    <w:rsid w:val="00A43244"/>
    <w:rsid w:val="00A43441"/>
    <w:rsid w:val="00A51C21"/>
    <w:rsid w:val="00A51CB9"/>
    <w:rsid w:val="00A53DDE"/>
    <w:rsid w:val="00A55B93"/>
    <w:rsid w:val="00A60AA9"/>
    <w:rsid w:val="00A621E5"/>
    <w:rsid w:val="00A629B7"/>
    <w:rsid w:val="00A6534D"/>
    <w:rsid w:val="00A675F4"/>
    <w:rsid w:val="00A726FF"/>
    <w:rsid w:val="00A73C76"/>
    <w:rsid w:val="00A747D3"/>
    <w:rsid w:val="00A76FDE"/>
    <w:rsid w:val="00A8031A"/>
    <w:rsid w:val="00A82E52"/>
    <w:rsid w:val="00A94DED"/>
    <w:rsid w:val="00A96082"/>
    <w:rsid w:val="00A969CC"/>
    <w:rsid w:val="00AA13E0"/>
    <w:rsid w:val="00AA2BD4"/>
    <w:rsid w:val="00AA4BBE"/>
    <w:rsid w:val="00AA50D6"/>
    <w:rsid w:val="00AA6395"/>
    <w:rsid w:val="00AA6A11"/>
    <w:rsid w:val="00AA6FDE"/>
    <w:rsid w:val="00AB1212"/>
    <w:rsid w:val="00AB1FFC"/>
    <w:rsid w:val="00AB2086"/>
    <w:rsid w:val="00AB66A7"/>
    <w:rsid w:val="00AC0B67"/>
    <w:rsid w:val="00AC3BC0"/>
    <w:rsid w:val="00AC5F4A"/>
    <w:rsid w:val="00AE02A4"/>
    <w:rsid w:val="00AE7885"/>
    <w:rsid w:val="00AF1576"/>
    <w:rsid w:val="00AF5264"/>
    <w:rsid w:val="00B0307D"/>
    <w:rsid w:val="00B13BFF"/>
    <w:rsid w:val="00B165B7"/>
    <w:rsid w:val="00B1711A"/>
    <w:rsid w:val="00B1722D"/>
    <w:rsid w:val="00B202A4"/>
    <w:rsid w:val="00B21A6D"/>
    <w:rsid w:val="00B2207E"/>
    <w:rsid w:val="00B23E10"/>
    <w:rsid w:val="00B254A3"/>
    <w:rsid w:val="00B349DD"/>
    <w:rsid w:val="00B37EDE"/>
    <w:rsid w:val="00B40903"/>
    <w:rsid w:val="00B41F49"/>
    <w:rsid w:val="00B43E0B"/>
    <w:rsid w:val="00B47044"/>
    <w:rsid w:val="00B519DF"/>
    <w:rsid w:val="00B52095"/>
    <w:rsid w:val="00B52D33"/>
    <w:rsid w:val="00B559CE"/>
    <w:rsid w:val="00B5673A"/>
    <w:rsid w:val="00B57E2D"/>
    <w:rsid w:val="00B613E1"/>
    <w:rsid w:val="00B61CAE"/>
    <w:rsid w:val="00B6408F"/>
    <w:rsid w:val="00B66028"/>
    <w:rsid w:val="00B72FEB"/>
    <w:rsid w:val="00B807D6"/>
    <w:rsid w:val="00B851A6"/>
    <w:rsid w:val="00B90CBE"/>
    <w:rsid w:val="00B92070"/>
    <w:rsid w:val="00B9755C"/>
    <w:rsid w:val="00BA074A"/>
    <w:rsid w:val="00BB4C4B"/>
    <w:rsid w:val="00BB6F19"/>
    <w:rsid w:val="00BC2867"/>
    <w:rsid w:val="00BC4F18"/>
    <w:rsid w:val="00BD0586"/>
    <w:rsid w:val="00BD39C1"/>
    <w:rsid w:val="00BE2666"/>
    <w:rsid w:val="00BE2695"/>
    <w:rsid w:val="00BE3BCD"/>
    <w:rsid w:val="00BE6DB0"/>
    <w:rsid w:val="00BF0238"/>
    <w:rsid w:val="00BF3506"/>
    <w:rsid w:val="00BF3E33"/>
    <w:rsid w:val="00BF66CD"/>
    <w:rsid w:val="00BF743F"/>
    <w:rsid w:val="00BF7F59"/>
    <w:rsid w:val="00C04821"/>
    <w:rsid w:val="00C1242E"/>
    <w:rsid w:val="00C13F8B"/>
    <w:rsid w:val="00C15A4D"/>
    <w:rsid w:val="00C21B25"/>
    <w:rsid w:val="00C23988"/>
    <w:rsid w:val="00C24F55"/>
    <w:rsid w:val="00C25086"/>
    <w:rsid w:val="00C25318"/>
    <w:rsid w:val="00C258B2"/>
    <w:rsid w:val="00C3482D"/>
    <w:rsid w:val="00C351FA"/>
    <w:rsid w:val="00C35CC8"/>
    <w:rsid w:val="00C375DB"/>
    <w:rsid w:val="00C37745"/>
    <w:rsid w:val="00C41374"/>
    <w:rsid w:val="00C41799"/>
    <w:rsid w:val="00C427BF"/>
    <w:rsid w:val="00C428DC"/>
    <w:rsid w:val="00C42E59"/>
    <w:rsid w:val="00C43F45"/>
    <w:rsid w:val="00C44E19"/>
    <w:rsid w:val="00C4610E"/>
    <w:rsid w:val="00C538AA"/>
    <w:rsid w:val="00C54462"/>
    <w:rsid w:val="00C57622"/>
    <w:rsid w:val="00C57CE0"/>
    <w:rsid w:val="00C633C6"/>
    <w:rsid w:val="00C65AD3"/>
    <w:rsid w:val="00C665C2"/>
    <w:rsid w:val="00C73F56"/>
    <w:rsid w:val="00C748D1"/>
    <w:rsid w:val="00C80E70"/>
    <w:rsid w:val="00C813F8"/>
    <w:rsid w:val="00C92D7A"/>
    <w:rsid w:val="00C973BA"/>
    <w:rsid w:val="00C97FAE"/>
    <w:rsid w:val="00CA1D64"/>
    <w:rsid w:val="00CA303C"/>
    <w:rsid w:val="00CA50ED"/>
    <w:rsid w:val="00CA6FE9"/>
    <w:rsid w:val="00CB2AC3"/>
    <w:rsid w:val="00CB3B9E"/>
    <w:rsid w:val="00CB4025"/>
    <w:rsid w:val="00CB57A3"/>
    <w:rsid w:val="00CC1C76"/>
    <w:rsid w:val="00CC2563"/>
    <w:rsid w:val="00CC2F7A"/>
    <w:rsid w:val="00CC6353"/>
    <w:rsid w:val="00CD4629"/>
    <w:rsid w:val="00CD4EF7"/>
    <w:rsid w:val="00CD54D8"/>
    <w:rsid w:val="00CE4A02"/>
    <w:rsid w:val="00CF4F01"/>
    <w:rsid w:val="00CF7428"/>
    <w:rsid w:val="00D05EA3"/>
    <w:rsid w:val="00D06F6E"/>
    <w:rsid w:val="00D10C7C"/>
    <w:rsid w:val="00D149DE"/>
    <w:rsid w:val="00D14C37"/>
    <w:rsid w:val="00D20B1C"/>
    <w:rsid w:val="00D24275"/>
    <w:rsid w:val="00D24A9A"/>
    <w:rsid w:val="00D32CE8"/>
    <w:rsid w:val="00D36E84"/>
    <w:rsid w:val="00D432A3"/>
    <w:rsid w:val="00D439EE"/>
    <w:rsid w:val="00D43CA2"/>
    <w:rsid w:val="00D45FD3"/>
    <w:rsid w:val="00D468E2"/>
    <w:rsid w:val="00D50768"/>
    <w:rsid w:val="00D55A7C"/>
    <w:rsid w:val="00D55E38"/>
    <w:rsid w:val="00D566E1"/>
    <w:rsid w:val="00D606F9"/>
    <w:rsid w:val="00D60F89"/>
    <w:rsid w:val="00D63DC7"/>
    <w:rsid w:val="00D676C5"/>
    <w:rsid w:val="00D7086C"/>
    <w:rsid w:val="00D77629"/>
    <w:rsid w:val="00D77BA6"/>
    <w:rsid w:val="00D81EB9"/>
    <w:rsid w:val="00D909E6"/>
    <w:rsid w:val="00D925CC"/>
    <w:rsid w:val="00D947F5"/>
    <w:rsid w:val="00D97565"/>
    <w:rsid w:val="00DA032B"/>
    <w:rsid w:val="00DA4BD8"/>
    <w:rsid w:val="00DA73EC"/>
    <w:rsid w:val="00DA7805"/>
    <w:rsid w:val="00DA7AFC"/>
    <w:rsid w:val="00DB2EF9"/>
    <w:rsid w:val="00DB7531"/>
    <w:rsid w:val="00DB7D15"/>
    <w:rsid w:val="00DC27FB"/>
    <w:rsid w:val="00DC3404"/>
    <w:rsid w:val="00DD4CBA"/>
    <w:rsid w:val="00DE0478"/>
    <w:rsid w:val="00DF2074"/>
    <w:rsid w:val="00DF438F"/>
    <w:rsid w:val="00DF627E"/>
    <w:rsid w:val="00E005EC"/>
    <w:rsid w:val="00E134C7"/>
    <w:rsid w:val="00E1427C"/>
    <w:rsid w:val="00E16DCC"/>
    <w:rsid w:val="00E1716B"/>
    <w:rsid w:val="00E1782E"/>
    <w:rsid w:val="00E23394"/>
    <w:rsid w:val="00E248E9"/>
    <w:rsid w:val="00E25BBA"/>
    <w:rsid w:val="00E27057"/>
    <w:rsid w:val="00E33860"/>
    <w:rsid w:val="00E342EF"/>
    <w:rsid w:val="00E3431E"/>
    <w:rsid w:val="00E345F5"/>
    <w:rsid w:val="00E3674E"/>
    <w:rsid w:val="00E37868"/>
    <w:rsid w:val="00E463C6"/>
    <w:rsid w:val="00E479F5"/>
    <w:rsid w:val="00E50327"/>
    <w:rsid w:val="00E54644"/>
    <w:rsid w:val="00E60FD8"/>
    <w:rsid w:val="00E6606D"/>
    <w:rsid w:val="00E71A33"/>
    <w:rsid w:val="00E74880"/>
    <w:rsid w:val="00E800E8"/>
    <w:rsid w:val="00E81D37"/>
    <w:rsid w:val="00E87016"/>
    <w:rsid w:val="00E90F42"/>
    <w:rsid w:val="00E91E5E"/>
    <w:rsid w:val="00E92FE1"/>
    <w:rsid w:val="00EA0453"/>
    <w:rsid w:val="00EA238D"/>
    <w:rsid w:val="00EA2454"/>
    <w:rsid w:val="00EA3A8A"/>
    <w:rsid w:val="00EA4664"/>
    <w:rsid w:val="00EA4B7E"/>
    <w:rsid w:val="00EA714C"/>
    <w:rsid w:val="00EB0394"/>
    <w:rsid w:val="00EB489B"/>
    <w:rsid w:val="00EB7CB4"/>
    <w:rsid w:val="00EC61D9"/>
    <w:rsid w:val="00EC7ABB"/>
    <w:rsid w:val="00ED09CB"/>
    <w:rsid w:val="00ED141C"/>
    <w:rsid w:val="00ED1709"/>
    <w:rsid w:val="00ED2CDF"/>
    <w:rsid w:val="00ED3325"/>
    <w:rsid w:val="00ED3E3C"/>
    <w:rsid w:val="00ED42F2"/>
    <w:rsid w:val="00EE2A68"/>
    <w:rsid w:val="00EE65E1"/>
    <w:rsid w:val="00EE7104"/>
    <w:rsid w:val="00EF5FE9"/>
    <w:rsid w:val="00F01155"/>
    <w:rsid w:val="00F100A5"/>
    <w:rsid w:val="00F24F34"/>
    <w:rsid w:val="00F277BA"/>
    <w:rsid w:val="00F322E0"/>
    <w:rsid w:val="00F3660E"/>
    <w:rsid w:val="00F40F3A"/>
    <w:rsid w:val="00F45149"/>
    <w:rsid w:val="00F4698D"/>
    <w:rsid w:val="00F5663A"/>
    <w:rsid w:val="00F60AFF"/>
    <w:rsid w:val="00F63E49"/>
    <w:rsid w:val="00F66316"/>
    <w:rsid w:val="00F7148A"/>
    <w:rsid w:val="00F75AED"/>
    <w:rsid w:val="00F76631"/>
    <w:rsid w:val="00F8242E"/>
    <w:rsid w:val="00F839CE"/>
    <w:rsid w:val="00F84B39"/>
    <w:rsid w:val="00F90ACD"/>
    <w:rsid w:val="00F9197A"/>
    <w:rsid w:val="00F94252"/>
    <w:rsid w:val="00F94739"/>
    <w:rsid w:val="00FA0E4D"/>
    <w:rsid w:val="00FA2542"/>
    <w:rsid w:val="00FB151D"/>
    <w:rsid w:val="00FB3167"/>
    <w:rsid w:val="00FC3130"/>
    <w:rsid w:val="00FC43E7"/>
    <w:rsid w:val="00FC4D33"/>
    <w:rsid w:val="00FC511E"/>
    <w:rsid w:val="00FE1506"/>
    <w:rsid w:val="00FE2D0A"/>
    <w:rsid w:val="00FE7839"/>
    <w:rsid w:val="00FE7F89"/>
    <w:rsid w:val="00FF1CA1"/>
    <w:rsid w:val="00FF383B"/>
    <w:rsid w:val="03864F2E"/>
    <w:rsid w:val="0A7F1FD8"/>
    <w:rsid w:val="16C54A21"/>
    <w:rsid w:val="1A446F96"/>
    <w:rsid w:val="220D7624"/>
    <w:rsid w:val="2A4D5B88"/>
    <w:rsid w:val="348545A1"/>
    <w:rsid w:val="387D620C"/>
    <w:rsid w:val="412D116E"/>
    <w:rsid w:val="4C8F5BA7"/>
    <w:rsid w:val="4DCE2516"/>
    <w:rsid w:val="50C572B1"/>
    <w:rsid w:val="5B0071E9"/>
    <w:rsid w:val="64A3038A"/>
    <w:rsid w:val="66092039"/>
    <w:rsid w:val="6B827135"/>
    <w:rsid w:val="6E8C5419"/>
    <w:rsid w:val="6F195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7"/>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8"/>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49"/>
    <w:unhideWhenUsed/>
    <w:qFormat/>
    <w:uiPriority w:val="9"/>
    <w:pPr>
      <w:keepNext/>
      <w:keepLines/>
      <w:spacing w:before="280" w:after="290" w:line="376" w:lineRule="auto"/>
      <w:outlineLvl w:val="4"/>
    </w:pPr>
    <w:rPr>
      <w:b/>
      <w:bCs/>
      <w:sz w:val="28"/>
      <w:szCs w:val="28"/>
    </w:rPr>
  </w:style>
  <w:style w:type="character" w:default="1" w:styleId="18">
    <w:name w:val="Default Paragraph Font"/>
    <w:autoRedefine/>
    <w:semiHidden/>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7">
    <w:name w:val="annotation text"/>
    <w:basedOn w:val="1"/>
    <w:semiHidden/>
    <w:unhideWhenUsed/>
    <w:qFormat/>
    <w:uiPriority w:val="99"/>
    <w:pPr>
      <w:jc w:val="left"/>
    </w:pPr>
  </w:style>
  <w:style w:type="paragraph" w:styleId="8">
    <w:name w:val="toc 3"/>
    <w:basedOn w:val="1"/>
    <w:next w:val="1"/>
    <w:unhideWhenUsed/>
    <w:qFormat/>
    <w:uiPriority w:val="39"/>
    <w:pPr>
      <w:widowControl/>
      <w:spacing w:after="100"/>
      <w:ind w:left="442"/>
      <w:jc w:val="left"/>
    </w:pPr>
    <w:rPr>
      <w:kern w:val="0"/>
      <w:sz w:val="22"/>
    </w:rPr>
  </w:style>
  <w:style w:type="paragraph" w:styleId="9">
    <w:name w:val="Date"/>
    <w:basedOn w:val="1"/>
    <w:next w:val="1"/>
    <w:link w:val="30"/>
    <w:autoRedefine/>
    <w:semiHidden/>
    <w:unhideWhenUsed/>
    <w:qFormat/>
    <w:uiPriority w:val="99"/>
    <w:pPr>
      <w:ind w:left="100" w:leftChars="2500"/>
    </w:pPr>
  </w:style>
  <w:style w:type="paragraph" w:styleId="10">
    <w:name w:val="Balloon Text"/>
    <w:basedOn w:val="1"/>
    <w:link w:val="29"/>
    <w:semiHidden/>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unhideWhenUsed/>
    <w:qFormat/>
    <w:uiPriority w:val="39"/>
    <w:pPr>
      <w:widowControl/>
      <w:spacing w:after="100"/>
      <w:jc w:val="left"/>
    </w:pPr>
    <w:rPr>
      <w:kern w:val="0"/>
      <w:sz w:val="24"/>
    </w:rPr>
  </w:style>
  <w:style w:type="paragraph" w:styleId="14">
    <w:name w:val="toc 4"/>
    <w:basedOn w:val="1"/>
    <w:next w:val="1"/>
    <w:unhideWhenUsed/>
    <w:qFormat/>
    <w:uiPriority w:val="39"/>
    <w:pPr>
      <w:ind w:left="1260" w:leftChars="600"/>
    </w:pPr>
  </w:style>
  <w:style w:type="paragraph" w:styleId="15">
    <w:name w:val="toc 2"/>
    <w:basedOn w:val="1"/>
    <w:next w:val="1"/>
    <w:unhideWhenUsed/>
    <w:qFormat/>
    <w:uiPriority w:val="39"/>
    <w:pPr>
      <w:widowControl/>
      <w:tabs>
        <w:tab w:val="right" w:leader="dot" w:pos="8302"/>
      </w:tabs>
      <w:spacing w:after="100"/>
      <w:ind w:left="221"/>
      <w:jc w:val="left"/>
    </w:pPr>
    <w:rPr>
      <w:kern w:val="0"/>
      <w:sz w:val="22"/>
    </w:rPr>
  </w:style>
  <w:style w:type="paragraph" w:styleId="16">
    <w:name w:val="Normal (Web)"/>
    <w:basedOn w:val="1"/>
    <w:autoRedefine/>
    <w:qFormat/>
    <w:uiPriority w:val="0"/>
    <w:pPr>
      <w:spacing w:beforeAutospacing="1" w:afterAutospacing="1"/>
      <w:jc w:val="left"/>
    </w:pPr>
    <w:rPr>
      <w:rFonts w:cs="Times New Roman"/>
      <w:kern w:val="0"/>
      <w:sz w:val="24"/>
    </w:rPr>
  </w:style>
  <w:style w:type="character" w:styleId="19">
    <w:name w:val="FollowedHyperlink"/>
    <w:basedOn w:val="18"/>
    <w:autoRedefine/>
    <w:semiHidden/>
    <w:unhideWhenUsed/>
    <w:qFormat/>
    <w:uiPriority w:val="99"/>
    <w:rPr>
      <w:color w:val="800080"/>
      <w:u w:val="single"/>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character" w:customStyle="1" w:styleId="22">
    <w:name w:val="页眉 字符"/>
    <w:basedOn w:val="18"/>
    <w:link w:val="12"/>
    <w:autoRedefine/>
    <w:qFormat/>
    <w:uiPriority w:val="99"/>
    <w:rPr>
      <w:sz w:val="18"/>
      <w:szCs w:val="18"/>
    </w:rPr>
  </w:style>
  <w:style w:type="character" w:customStyle="1" w:styleId="23">
    <w:name w:val="页脚 字符"/>
    <w:basedOn w:val="18"/>
    <w:link w:val="11"/>
    <w:autoRedefine/>
    <w:qFormat/>
    <w:uiPriority w:val="99"/>
    <w:rPr>
      <w:sz w:val="18"/>
      <w:szCs w:val="18"/>
    </w:rPr>
  </w:style>
  <w:style w:type="paragraph" w:styleId="24">
    <w:name w:val="List Paragraph"/>
    <w:basedOn w:val="1"/>
    <w:autoRedefine/>
    <w:qFormat/>
    <w:uiPriority w:val="34"/>
    <w:pPr>
      <w:ind w:firstLine="420" w:firstLineChars="200"/>
    </w:pPr>
  </w:style>
  <w:style w:type="character" w:customStyle="1" w:styleId="25">
    <w:name w:val="标题 1 字符"/>
    <w:basedOn w:val="18"/>
    <w:link w:val="2"/>
    <w:autoRedefine/>
    <w:qFormat/>
    <w:uiPriority w:val="9"/>
    <w:rPr>
      <w:b/>
      <w:bCs/>
      <w:kern w:val="44"/>
      <w:sz w:val="44"/>
      <w:szCs w:val="44"/>
    </w:rPr>
  </w:style>
  <w:style w:type="character" w:customStyle="1" w:styleId="26">
    <w:name w:val="标题 2 字符"/>
    <w:basedOn w:val="18"/>
    <w:link w:val="3"/>
    <w:autoRedefine/>
    <w:qFormat/>
    <w:uiPriority w:val="9"/>
    <w:rPr>
      <w:rFonts w:asciiTheme="majorHAnsi" w:hAnsiTheme="majorHAnsi" w:eastAsiaTheme="majorEastAsia" w:cstheme="majorBidi"/>
      <w:b/>
      <w:bCs/>
      <w:sz w:val="32"/>
      <w:szCs w:val="32"/>
    </w:rPr>
  </w:style>
  <w:style w:type="character" w:customStyle="1" w:styleId="27">
    <w:name w:val="标题 3 字符"/>
    <w:basedOn w:val="18"/>
    <w:link w:val="4"/>
    <w:qFormat/>
    <w:uiPriority w:val="9"/>
    <w:rPr>
      <w:b/>
      <w:bCs/>
      <w:sz w:val="32"/>
      <w:szCs w:val="32"/>
    </w:rPr>
  </w:style>
  <w:style w:type="paragraph" w:customStyle="1" w:styleId="2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字符"/>
    <w:basedOn w:val="18"/>
    <w:link w:val="10"/>
    <w:semiHidden/>
    <w:qFormat/>
    <w:uiPriority w:val="99"/>
    <w:rPr>
      <w:sz w:val="18"/>
      <w:szCs w:val="18"/>
    </w:rPr>
  </w:style>
  <w:style w:type="character" w:customStyle="1" w:styleId="30">
    <w:name w:val="日期 字符"/>
    <w:basedOn w:val="18"/>
    <w:link w:val="9"/>
    <w:semiHidden/>
    <w:qFormat/>
    <w:uiPriority w:val="99"/>
  </w:style>
  <w:style w:type="paragraph" w:customStyle="1" w:styleId="31">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2">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24"/>
      <w:szCs w:val="24"/>
    </w:rPr>
  </w:style>
  <w:style w:type="paragraph" w:customStyle="1" w:styleId="33">
    <w:name w:val="xl69"/>
    <w:basedOn w:val="1"/>
    <w:qFormat/>
    <w:uiPriority w:val="0"/>
    <w:pPr>
      <w:widowControl/>
      <w:shd w:val="clear" w:color="000000" w:fill="FFFFFF"/>
      <w:spacing w:before="100" w:beforeAutospacing="1" w:after="100" w:afterAutospacing="1"/>
      <w:jc w:val="left"/>
      <w:textAlignment w:val="bottom"/>
    </w:pPr>
    <w:rPr>
      <w:rFonts w:ascii="Arial" w:hAnsi="Arial" w:eastAsia="宋体" w:cs="Arial"/>
      <w:kern w:val="0"/>
      <w:sz w:val="20"/>
      <w:szCs w:val="20"/>
    </w:rPr>
  </w:style>
  <w:style w:type="paragraph" w:customStyle="1" w:styleId="34">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35">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eastAsia="宋体" w:cs="Arial"/>
      <w:kern w:val="0"/>
      <w:sz w:val="20"/>
      <w:szCs w:val="20"/>
    </w:rPr>
  </w:style>
  <w:style w:type="paragraph" w:customStyle="1" w:styleId="36">
    <w:name w:val="xl72"/>
    <w:basedOn w:val="1"/>
    <w:autoRedefine/>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textAlignment w:val="bottom"/>
    </w:pPr>
    <w:rPr>
      <w:rFonts w:ascii="Arial" w:hAnsi="Arial" w:eastAsia="宋体" w:cs="Arial"/>
      <w:kern w:val="0"/>
      <w:sz w:val="20"/>
      <w:szCs w:val="20"/>
    </w:rPr>
  </w:style>
  <w:style w:type="paragraph" w:customStyle="1" w:styleId="37">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38">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4"/>
      <w:szCs w:val="24"/>
    </w:rPr>
  </w:style>
  <w:style w:type="paragraph" w:customStyle="1" w:styleId="39">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eastAsia="宋体" w:cs="Arial"/>
      <w:b/>
      <w:bCs/>
      <w:kern w:val="0"/>
      <w:sz w:val="20"/>
      <w:szCs w:val="20"/>
    </w:rPr>
  </w:style>
  <w:style w:type="paragraph" w:customStyle="1" w:styleId="40">
    <w:name w:val="xl76"/>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textAlignment w:val="bottom"/>
    </w:pPr>
    <w:rPr>
      <w:rFonts w:ascii="Arial" w:hAnsi="Arial" w:eastAsia="宋体" w:cs="Arial"/>
      <w:b/>
      <w:bCs/>
      <w:kern w:val="0"/>
      <w:sz w:val="20"/>
      <w:szCs w:val="20"/>
    </w:rPr>
  </w:style>
  <w:style w:type="paragraph" w:customStyle="1" w:styleId="41">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24"/>
      <w:szCs w:val="24"/>
    </w:rPr>
  </w:style>
  <w:style w:type="paragraph" w:customStyle="1" w:styleId="42">
    <w:name w:val="xl78"/>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textAlignment w:val="bottom"/>
    </w:pPr>
    <w:rPr>
      <w:rFonts w:ascii="Arial" w:hAnsi="Arial" w:eastAsia="宋体" w:cs="Arial"/>
      <w:kern w:val="0"/>
      <w:sz w:val="20"/>
      <w:szCs w:val="20"/>
    </w:rPr>
  </w:style>
  <w:style w:type="paragraph" w:customStyle="1" w:styleId="4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44">
    <w:name w:val="xl8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45">
    <w:name w:val="xl8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46">
    <w:name w:val="xl82"/>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bottom"/>
    </w:pPr>
    <w:rPr>
      <w:rFonts w:ascii="宋体" w:hAnsi="宋体" w:eastAsia="宋体" w:cs="宋体"/>
      <w:kern w:val="0"/>
      <w:sz w:val="24"/>
      <w:szCs w:val="24"/>
    </w:rPr>
  </w:style>
  <w:style w:type="paragraph" w:customStyle="1" w:styleId="4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character" w:customStyle="1" w:styleId="48">
    <w:name w:val="标题 4 字符"/>
    <w:basedOn w:val="18"/>
    <w:link w:val="5"/>
    <w:qFormat/>
    <w:uiPriority w:val="9"/>
    <w:rPr>
      <w:rFonts w:asciiTheme="majorHAnsi" w:hAnsiTheme="majorHAnsi" w:eastAsiaTheme="majorEastAsia" w:cstheme="majorBidi"/>
      <w:b/>
      <w:bCs/>
      <w:sz w:val="28"/>
      <w:szCs w:val="28"/>
    </w:rPr>
  </w:style>
  <w:style w:type="character" w:customStyle="1" w:styleId="49">
    <w:name w:val="标题 5 字符"/>
    <w:basedOn w:val="18"/>
    <w:link w:val="6"/>
    <w:qFormat/>
    <w:uiPriority w:val="9"/>
    <w:rPr>
      <w:b/>
      <w:bCs/>
      <w:sz w:val="28"/>
      <w:szCs w:val="28"/>
    </w:rPr>
  </w:style>
  <w:style w:type="character" w:customStyle="1" w:styleId="50">
    <w:name w:val="font11"/>
    <w:basedOn w:val="18"/>
    <w:qFormat/>
    <w:uiPriority w:val="0"/>
    <w:rPr>
      <w:rFonts w:ascii="瀹嬩綋" w:hAnsi="瀹嬩綋" w:eastAsia="瀹嬩綋" w:cs="瀹嬩綋"/>
      <w:color w:val="000000"/>
      <w:sz w:val="19"/>
      <w:szCs w:val="19"/>
      <w:u w:val="none"/>
    </w:rPr>
  </w:style>
  <w:style w:type="character" w:customStyle="1" w:styleId="51">
    <w:name w:val="font41"/>
    <w:basedOn w:val="18"/>
    <w:qFormat/>
    <w:uiPriority w:val="0"/>
    <w:rPr>
      <w:rFonts w:hint="default" w:ascii="仿宋_GB2312" w:eastAsia="仿宋_GB2312" w:cs="仿宋_GB2312"/>
      <w:color w:val="000000"/>
      <w:sz w:val="19"/>
      <w:szCs w:val="19"/>
      <w:u w:val="none"/>
    </w:rPr>
  </w:style>
  <w:style w:type="character" w:customStyle="1" w:styleId="52">
    <w:name w:val="font51"/>
    <w:basedOn w:val="18"/>
    <w:qFormat/>
    <w:uiPriority w:val="0"/>
    <w:rPr>
      <w:rFonts w:hint="default" w:ascii="Calibri" w:hAnsi="Calibri" w:cs="Calibri"/>
      <w:color w:val="000000"/>
      <w:sz w:val="20"/>
      <w:szCs w:val="20"/>
      <w:u w:val="none"/>
    </w:rPr>
  </w:style>
  <w:style w:type="character" w:customStyle="1" w:styleId="53">
    <w:name w:val="font71"/>
    <w:basedOn w:val="18"/>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70A305-5809-4DE5-89D5-CAB5BA9DFA6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8893</Words>
  <Characters>9647</Characters>
  <Lines>105</Lines>
  <Paragraphs>29</Paragraphs>
  <TotalTime>0</TotalTime>
  <ScaleCrop>false</ScaleCrop>
  <LinksUpToDate>false</LinksUpToDate>
  <CharactersWithSpaces>10113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2024-06-20T10:35:00Z</dcterms:created>
  <dc:creator>Microsoft</dc:creator>
  <cp:lastModifiedBy>麦子没熟</cp:lastModifiedBy>
  <cp:lastPrinted>2019-03-06T09:51:00Z</cp:lastPrinted>
  <dcterms:modified xsi:type="dcterms:W3CDTF">2025-09-19T07:50:33Z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A5637DD617084AD7945A650DAB8E7B57_12</vt:lpwstr>
  </property>
  <property fmtid="{D5CDD505-2E9C-101B-9397-08002B2CF9AE}" pid="4" name="KSOTemplateDocerSaveRecord">
    <vt:lpwstr>eyJoZGlkIjoiNDc5OWNlMzUwNWYxYTVmYWM3ZmM5MWFhNTU3ZWY3N2UiLCJ1c2VySWQiOiI5MzA0MTI4ODYifQ==</vt:lpwstr>
  </property>
</Properties>
</file>