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rPr>
          <w:rFonts w:hint="eastAsia" w:ascii="仿宋_GB2312" w:hAnsi="华文仿宋" w:eastAsia="仿宋_GB2312" w:cs="仿宋_GB2312"/>
          <w:sz w:val="32"/>
          <w:szCs w:val="32"/>
          <w:lang w:eastAsia="zh-CN"/>
        </w:rPr>
      </w:pPr>
      <w:r>
        <w:rPr>
          <w:rFonts w:hint="eastAsia" w:ascii="仿宋_GB2312" w:hAnsi="华文仿宋" w:eastAsia="仿宋_GB2312" w:cs="仿宋_GB2312"/>
          <w:sz w:val="32"/>
          <w:szCs w:val="32"/>
          <w:lang w:val="en-US" w:eastAsia="zh-CN"/>
        </w:rPr>
        <w:t>CSCR-2026-10001</w:t>
      </w:r>
    </w:p>
    <w:p>
      <w:pPr>
        <w:pStyle w:val="2"/>
        <w:rPr>
          <w:rFonts w:hint="eastAsia" w:ascii="方正小标宋简体" w:hAnsi="Times New Roman" w:eastAsia="方正小标宋简体" w:cs="Times New Roman"/>
          <w:sz w:val="44"/>
          <w:szCs w:val="44"/>
        </w:rPr>
      </w:pPr>
    </w:p>
    <w:p>
      <w:pPr>
        <w:pStyle w:val="3"/>
        <w:rPr>
          <w:rFonts w:hint="eastAsia" w:ascii="方正小标宋简体" w:hAnsi="Times New Roman" w:eastAsia="方正小标宋简体" w:cs="Times New Roman"/>
          <w:sz w:val="44"/>
          <w:szCs w:val="44"/>
        </w:rPr>
      </w:pPr>
    </w:p>
    <w:p>
      <w:pPr>
        <w:rPr>
          <w:rFonts w:hint="eastAsia"/>
        </w:rPr>
      </w:pPr>
    </w:p>
    <w:p>
      <w:pPr>
        <w:pStyle w:val="3"/>
        <w:ind w:left="0" w:leftChars="0" w:firstLine="0" w:firstLineChars="0"/>
        <w:jc w:val="both"/>
        <w:rPr>
          <w:rFonts w:hint="eastAsia" w:ascii="仿宋_GB2312" w:hAnsi="华文仿宋" w:eastAsia="仿宋_GB2312" w:cs="仿宋_GB2312"/>
          <w:kern w:val="2"/>
          <w:sz w:val="32"/>
          <w:szCs w:val="32"/>
          <w:lang w:val="en-US" w:eastAsia="zh-CN" w:bidi="ar-SA"/>
        </w:rPr>
      </w:pPr>
      <w:r>
        <w:rPr>
          <w:rFonts w:hint="eastAsia" w:ascii="宋体" w:hAnsi="宋体" w:eastAsia="宋体" w:cs="宋体"/>
          <w:b w:val="0"/>
          <w:bCs/>
          <w:kern w:val="2"/>
          <w:sz w:val="21"/>
          <w:szCs w:val="21"/>
          <w:lang w:val="en-US" w:eastAsia="zh-CN" w:bidi="ar-SA"/>
        </w:rPr>
        <w:t xml:space="preserve">                          </w:t>
      </w:r>
      <w:r>
        <w:rPr>
          <w:rFonts w:hint="eastAsia" w:ascii="仿宋_GB2312" w:hAnsi="华文仿宋" w:eastAsia="仿宋_GB2312" w:cs="仿宋_GB2312"/>
          <w:kern w:val="2"/>
          <w:sz w:val="32"/>
          <w:szCs w:val="32"/>
          <w:lang w:val="en-US" w:eastAsia="zh-CN" w:bidi="ar-SA"/>
        </w:rPr>
        <w:t xml:space="preserve">  长司发〔2026〕1号</w:t>
      </w:r>
    </w:p>
    <w:p>
      <w:pPr>
        <w:adjustRightInd w:val="0"/>
        <w:snapToGrid w:val="0"/>
        <w:spacing w:line="540" w:lineRule="exact"/>
        <w:jc w:val="center"/>
        <w:rPr>
          <w:rFonts w:hint="eastAsia" w:ascii="仿宋_GB2312" w:hAnsi="华文仿宋" w:eastAsia="仿宋_GB2312" w:cs="仿宋_GB2312"/>
          <w:kern w:val="2"/>
          <w:sz w:val="32"/>
          <w:szCs w:val="32"/>
          <w:lang w:val="en-US" w:eastAsia="zh-CN" w:bidi="ar-SA"/>
        </w:rPr>
      </w:pPr>
    </w:p>
    <w:p>
      <w:pPr>
        <w:adjustRightInd w:val="0"/>
        <w:snapToGrid w:val="0"/>
        <w:spacing w:line="54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关于印发《长沙市人民调解案件“以奖代补”</w:t>
      </w:r>
    </w:p>
    <w:p>
      <w:pPr>
        <w:adjustRightInd w:val="0"/>
        <w:snapToGrid w:val="0"/>
        <w:spacing w:line="54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实施细则》的通知</w:t>
      </w:r>
    </w:p>
    <w:p>
      <w:pPr>
        <w:adjustRightInd w:val="0"/>
        <w:snapToGrid w:val="0"/>
        <w:spacing w:line="500" w:lineRule="exact"/>
        <w:rPr>
          <w:rFonts w:ascii="华文仿宋" w:hAnsi="华文仿宋" w:eastAsia="华文仿宋" w:cs="仿宋_GB2312"/>
          <w:sz w:val="32"/>
          <w:szCs w:val="32"/>
        </w:rPr>
      </w:pPr>
    </w:p>
    <w:p>
      <w:pPr>
        <w:adjustRightInd w:val="0"/>
        <w:snapToGrid w:val="0"/>
        <w:spacing w:line="500" w:lineRule="exact"/>
        <w:rPr>
          <w:rFonts w:ascii="仿宋_GB2312" w:hAnsi="华文仿宋" w:eastAsia="仿宋_GB2312" w:cs="仿宋_GB2312"/>
          <w:sz w:val="32"/>
          <w:szCs w:val="32"/>
        </w:rPr>
      </w:pPr>
      <w:r>
        <w:rPr>
          <w:rFonts w:hint="eastAsia" w:ascii="仿宋_GB2312" w:hAnsi="华文仿宋" w:eastAsia="仿宋_GB2312" w:cs="仿宋_GB2312"/>
          <w:sz w:val="32"/>
          <w:szCs w:val="32"/>
          <w:lang w:eastAsia="zh-CN"/>
        </w:rPr>
        <w:t>湖南湘江新区政法工作部、财政金融局，</w:t>
      </w:r>
      <w:r>
        <w:rPr>
          <w:rFonts w:hint="eastAsia" w:ascii="仿宋_GB2312" w:hAnsi="华文仿宋" w:eastAsia="仿宋_GB2312" w:cs="仿宋_GB2312"/>
          <w:sz w:val="32"/>
          <w:szCs w:val="32"/>
        </w:rPr>
        <w:t>各区县（市）司法局、财政局：</w:t>
      </w:r>
    </w:p>
    <w:p>
      <w:pPr>
        <w:adjustRightInd w:val="0"/>
        <w:snapToGrid w:val="0"/>
        <w:spacing w:line="500" w:lineRule="exact"/>
        <w:ind w:firstLine="645"/>
        <w:jc w:val="left"/>
        <w:rPr>
          <w:rFonts w:hint="eastAsia" w:ascii="仿宋_GB2312" w:hAnsi="华文仿宋" w:eastAsia="仿宋_GB2312" w:cs="仿宋_GB2312"/>
          <w:sz w:val="32"/>
          <w:szCs w:val="32"/>
        </w:rPr>
      </w:pPr>
      <w:r>
        <w:rPr>
          <w:rFonts w:hint="eastAsia" w:ascii="仿宋_GB2312" w:hAnsi="华文仿宋" w:eastAsia="仿宋_GB2312" w:cs="仿宋_GB2312"/>
          <w:sz w:val="32"/>
          <w:szCs w:val="32"/>
        </w:rPr>
        <w:t>现将《长沙市人民调解案件“以奖代补”实施细则》印发给你们，请结合实际，认真贯彻执行。</w:t>
      </w:r>
    </w:p>
    <w:p>
      <w:pPr>
        <w:pStyle w:val="2"/>
        <w:rPr>
          <w:rFonts w:hint="eastAsia" w:ascii="仿宋_GB2312" w:hAnsi="华文仿宋" w:eastAsia="仿宋_GB2312" w:cs="仿宋_GB2312"/>
          <w:sz w:val="32"/>
          <w:szCs w:val="32"/>
        </w:rPr>
      </w:pPr>
    </w:p>
    <w:p>
      <w:pPr>
        <w:pStyle w:val="3"/>
        <w:rPr>
          <w:rFonts w:hint="eastAsia" w:ascii="仿宋_GB2312" w:hAnsi="华文仿宋" w:eastAsia="仿宋_GB2312" w:cs="仿宋_GB2312"/>
          <w:sz w:val="32"/>
          <w:szCs w:val="32"/>
        </w:rPr>
      </w:pPr>
    </w:p>
    <w:p/>
    <w:p>
      <w:pPr>
        <w:tabs>
          <w:tab w:val="left" w:pos="5694"/>
        </w:tabs>
        <w:spacing w:line="540" w:lineRule="exact"/>
        <w:ind w:firstLine="640" w:firstLineChars="200"/>
        <w:jc w:val="righ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长沙市司法局     </w:t>
      </w:r>
      <w:bookmarkStart w:id="0" w:name="_GoBack"/>
      <w:bookmarkEnd w:id="0"/>
      <w:r>
        <w:rPr>
          <w:rFonts w:hint="eastAsia" w:ascii="仿宋_GB2312" w:hAnsi="Times New Roman" w:eastAsia="仿宋_GB2312" w:cs="Times New Roman"/>
          <w:sz w:val="32"/>
          <w:szCs w:val="32"/>
        </w:rPr>
        <w:t xml:space="preserve">      长沙市财政局          </w:t>
      </w:r>
    </w:p>
    <w:p>
      <w:pPr>
        <w:spacing w:line="560" w:lineRule="exact"/>
        <w:ind w:firstLine="420"/>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202</w:t>
      </w: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23</w:t>
      </w:r>
      <w:r>
        <w:rPr>
          <w:rFonts w:hint="eastAsia" w:ascii="仿宋_GB2312" w:hAnsi="Times New Roman" w:eastAsia="仿宋_GB2312" w:cs="Times New Roman"/>
          <w:sz w:val="32"/>
          <w:szCs w:val="32"/>
        </w:rPr>
        <w:t>日</w:t>
      </w:r>
    </w:p>
    <w:p>
      <w:pPr>
        <w:pStyle w:val="2"/>
        <w:jc w:val="right"/>
        <w:rPr>
          <w:rFonts w:hint="eastAsia" w:ascii="仿宋_GB2312" w:hAnsi="Times New Roman" w:eastAsia="仿宋_GB2312" w:cs="Times New Roman"/>
          <w:sz w:val="32"/>
          <w:szCs w:val="32"/>
        </w:rPr>
      </w:pPr>
    </w:p>
    <w:p>
      <w:pPr>
        <w:pStyle w:val="3"/>
      </w:pPr>
    </w:p>
    <w:p>
      <w:pPr>
        <w:spacing w:line="560" w:lineRule="exact"/>
        <w:rPr>
          <w:rFonts w:hint="eastAsia" w:ascii="黑体" w:hAnsi="黑体" w:eastAsia="黑体" w:cs="Times New Roman"/>
          <w:spacing w:val="-4"/>
          <w:sz w:val="32"/>
          <w:szCs w:val="32"/>
        </w:rPr>
      </w:pPr>
    </w:p>
    <w:p>
      <w:pPr>
        <w:spacing w:line="560" w:lineRule="exact"/>
        <w:rPr>
          <w:rFonts w:hint="eastAsia" w:ascii="黑体" w:hAnsi="黑体" w:eastAsia="黑体" w:cs="Times New Roman"/>
          <w:spacing w:val="-4"/>
          <w:sz w:val="32"/>
          <w:szCs w:val="32"/>
        </w:rPr>
      </w:pPr>
    </w:p>
    <w:p>
      <w:pPr>
        <w:spacing w:line="560" w:lineRule="exact"/>
        <w:rPr>
          <w:rFonts w:hint="eastAsia" w:ascii="黑体" w:hAnsi="黑体" w:eastAsia="黑体" w:cs="Times New Roman"/>
          <w:spacing w:val="-4"/>
          <w:sz w:val="32"/>
          <w:szCs w:val="32"/>
        </w:rPr>
      </w:pPr>
    </w:p>
    <w:p>
      <w:pPr>
        <w:spacing w:line="560" w:lineRule="exact"/>
        <w:rPr>
          <w:rFonts w:hint="eastAsia" w:ascii="黑体" w:hAnsi="黑体" w:eastAsia="黑体" w:cs="Times New Roman"/>
          <w:spacing w:val="-4"/>
          <w:sz w:val="32"/>
          <w:szCs w:val="32"/>
        </w:rPr>
      </w:pPr>
    </w:p>
    <w:p>
      <w:pPr>
        <w:pStyle w:val="2"/>
        <w:rPr>
          <w:rFonts w:hint="eastAsia"/>
        </w:rPr>
      </w:pPr>
    </w:p>
    <w:p>
      <w:pPr>
        <w:adjustRightInd w:val="0"/>
        <w:snapToGrid w:val="0"/>
        <w:spacing w:line="560" w:lineRule="exact"/>
        <w:jc w:val="center"/>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长沙市人民调解案件“以奖代补”</w:t>
      </w:r>
    </w:p>
    <w:p>
      <w:pPr>
        <w:adjustRightInd w:val="0"/>
        <w:snapToGrid w:val="0"/>
        <w:spacing w:line="560" w:lineRule="exact"/>
        <w:jc w:val="center"/>
        <w:rPr>
          <w:rFonts w:ascii="Times New Roman" w:hAnsi="Times New Roman" w:eastAsia="仿宋_GB2312" w:cs="Times New Roman"/>
          <w:spacing w:val="-4"/>
          <w:sz w:val="32"/>
          <w:szCs w:val="32"/>
        </w:rPr>
      </w:pPr>
      <w:r>
        <w:rPr>
          <w:rFonts w:hint="eastAsia" w:ascii="方正小标宋简体" w:hAnsi="Times New Roman" w:eastAsia="方正小标宋简体" w:cs="Times New Roman"/>
          <w:sz w:val="44"/>
          <w:szCs w:val="44"/>
        </w:rPr>
        <w:t>实施细则</w:t>
      </w:r>
    </w:p>
    <w:p>
      <w:pPr>
        <w:spacing w:line="560" w:lineRule="exact"/>
        <w:jc w:val="center"/>
        <w:rPr>
          <w:rFonts w:ascii="黑体" w:hAnsi="黑体" w:eastAsia="黑体" w:cs="Times New Roman"/>
          <w:sz w:val="32"/>
          <w:szCs w:val="32"/>
        </w:rPr>
      </w:pPr>
    </w:p>
    <w:p>
      <w:pPr>
        <w:spacing w:line="560" w:lineRule="exact"/>
        <w:ind w:firstLine="640" w:firstLineChars="200"/>
        <w:rPr>
          <w:rFonts w:ascii="仿宋_GB2312" w:hAnsi="仿宋" w:eastAsia="仿宋_GB2312" w:cs="Times New Roman"/>
          <w:color w:val="auto"/>
          <w:sz w:val="32"/>
          <w:szCs w:val="32"/>
        </w:rPr>
      </w:pPr>
      <w:r>
        <w:rPr>
          <w:rFonts w:hint="eastAsia" w:ascii="黑体" w:hAnsi="黑体" w:eastAsia="黑体" w:cs="Times New Roman"/>
          <w:sz w:val="32"/>
          <w:szCs w:val="32"/>
        </w:rPr>
        <w:t>第一条</w:t>
      </w:r>
      <w:r>
        <w:rPr>
          <w:rFonts w:hint="eastAsia" w:ascii="仿宋" w:hAnsi="仿宋" w:eastAsia="仿宋" w:cs="Times New Roman"/>
          <w:sz w:val="32"/>
          <w:szCs w:val="32"/>
        </w:rPr>
        <w:t xml:space="preserve"> </w:t>
      </w:r>
      <w:r>
        <w:rPr>
          <w:rFonts w:hint="eastAsia" w:ascii="仿宋_GB2312" w:hAnsi="仿宋" w:eastAsia="仿宋_GB2312" w:cs="Times New Roman"/>
          <w:sz w:val="32"/>
          <w:szCs w:val="32"/>
        </w:rPr>
        <w:t>为充分发挥人民调解在矛盾纠纷多元化解机制和平安法治长沙建设中的重要作用，进一步完善我市人民调解工作经费保障机制，激发广</w:t>
      </w:r>
      <w:r>
        <w:rPr>
          <w:rFonts w:hint="eastAsia" w:ascii="仿宋_GB2312" w:hAnsi="仿宋" w:eastAsia="仿宋_GB2312" w:cs="Times New Roman"/>
          <w:color w:val="auto"/>
          <w:sz w:val="32"/>
          <w:szCs w:val="32"/>
        </w:rPr>
        <w:t>大人民调解员的工作积极性，根据《中华人民共和国人民调解法》</w:t>
      </w:r>
      <w:r>
        <w:rPr>
          <w:rFonts w:hint="eastAsia" w:ascii="仿宋_GB2312" w:hAnsi="仿宋" w:eastAsia="仿宋_GB2312" w:cs="仿宋"/>
          <w:color w:val="auto"/>
          <w:sz w:val="32"/>
          <w:szCs w:val="32"/>
          <w:lang w:eastAsia="zh-CN"/>
        </w:rPr>
        <w:t>和</w:t>
      </w:r>
      <w:r>
        <w:rPr>
          <w:rFonts w:hint="eastAsia" w:ascii="仿宋_GB2312" w:hAnsi="仿宋" w:eastAsia="仿宋_GB2312" w:cs="仿宋"/>
          <w:color w:val="auto"/>
          <w:sz w:val="32"/>
          <w:szCs w:val="32"/>
        </w:rPr>
        <w:t>《湖南省财政厅 湖南省司法厅关于</w:t>
      </w:r>
      <w:r>
        <w:rPr>
          <w:rFonts w:hint="eastAsia" w:ascii="仿宋_GB2312" w:hAnsi="仿宋" w:eastAsia="仿宋_GB2312" w:cs="仿宋"/>
          <w:color w:val="auto"/>
          <w:sz w:val="32"/>
          <w:szCs w:val="32"/>
          <w:lang w:eastAsia="zh-CN"/>
        </w:rPr>
        <w:t>延长</w:t>
      </w:r>
      <w:r>
        <w:rPr>
          <w:rFonts w:hint="eastAsia" w:ascii="仿宋_GB2312" w:hAnsi="宋体" w:eastAsia="仿宋_GB2312" w:cs="仿宋"/>
          <w:color w:val="auto"/>
          <w:sz w:val="32"/>
          <w:szCs w:val="32"/>
          <w:lang w:eastAsia="zh-CN"/>
        </w:rPr>
        <w:t>〈</w:t>
      </w:r>
      <w:r>
        <w:rPr>
          <w:rFonts w:hint="eastAsia" w:ascii="仿宋_GB2312" w:hAnsi="仿宋" w:eastAsia="仿宋_GB2312" w:cs="仿宋"/>
          <w:color w:val="auto"/>
          <w:sz w:val="32"/>
          <w:szCs w:val="32"/>
        </w:rPr>
        <w:t>湖南省人民调解案件“以奖代补”管理办法</w:t>
      </w:r>
      <w:r>
        <w:rPr>
          <w:rFonts w:hint="eastAsia" w:ascii="仿宋_GB2312" w:hAnsi="宋体" w:eastAsia="仿宋_GB2312" w:cs="仿宋"/>
          <w:color w:val="auto"/>
          <w:sz w:val="32"/>
          <w:szCs w:val="32"/>
          <w:lang w:eastAsia="zh-CN"/>
        </w:rPr>
        <w:t>〉文件有效期</w:t>
      </w:r>
      <w:r>
        <w:rPr>
          <w:rFonts w:hint="eastAsia" w:ascii="仿宋_GB2312" w:hAnsi="仿宋" w:eastAsia="仿宋_GB2312" w:cs="仿宋"/>
          <w:color w:val="auto"/>
          <w:sz w:val="32"/>
          <w:szCs w:val="32"/>
        </w:rPr>
        <w:t>的通知》（湘财政法</w:t>
      </w:r>
      <w:r>
        <w:rPr>
          <w:rFonts w:hint="eastAsia" w:ascii="仿宋_GB2312" w:hAnsi="Times New Roman" w:eastAsia="仿宋_GB2312" w:cs="Times New Roman"/>
          <w:color w:val="auto"/>
          <w:sz w:val="32"/>
          <w:szCs w:val="32"/>
        </w:rPr>
        <w:t>〔20</w:t>
      </w:r>
      <w:r>
        <w:rPr>
          <w:rFonts w:hint="eastAsia" w:ascii="仿宋_GB2312" w:hAnsi="Times New Roman" w:eastAsia="仿宋_GB2312" w:cs="Times New Roman"/>
          <w:color w:val="auto"/>
          <w:sz w:val="32"/>
          <w:szCs w:val="32"/>
          <w:lang w:val="en-US" w:eastAsia="zh-CN"/>
        </w:rPr>
        <w:t>26</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val="en-US" w:eastAsia="zh-CN"/>
        </w:rPr>
        <w:t>1</w:t>
      </w:r>
      <w:r>
        <w:rPr>
          <w:rFonts w:hint="eastAsia" w:ascii="仿宋_GB2312" w:hAnsi="Times New Roman" w:eastAsia="仿宋_GB2312" w:cs="Times New Roman"/>
          <w:color w:val="auto"/>
          <w:sz w:val="32"/>
          <w:szCs w:val="32"/>
        </w:rPr>
        <w:t>号</w:t>
      </w:r>
      <w:r>
        <w:rPr>
          <w:rFonts w:hint="eastAsia" w:ascii="仿宋_GB2312" w:hAnsi="仿宋" w:eastAsia="仿宋_GB2312" w:cs="仿宋"/>
          <w:color w:val="auto"/>
          <w:sz w:val="32"/>
          <w:szCs w:val="32"/>
        </w:rPr>
        <w:t>）的规定，结合我市实际，</w:t>
      </w:r>
      <w:r>
        <w:rPr>
          <w:rFonts w:hint="eastAsia" w:ascii="仿宋_GB2312" w:hAnsi="仿宋" w:eastAsia="仿宋_GB2312" w:cs="Times New Roman"/>
          <w:color w:val="auto"/>
          <w:sz w:val="32"/>
          <w:szCs w:val="32"/>
        </w:rPr>
        <w:t>制定本实施细则。</w:t>
      </w:r>
    </w:p>
    <w:p>
      <w:pPr>
        <w:spacing w:line="560" w:lineRule="exact"/>
        <w:ind w:firstLine="640" w:firstLineChars="200"/>
        <w:rPr>
          <w:rFonts w:ascii="仿宋_GB2312" w:hAnsi="仿宋" w:eastAsia="仿宋_GB2312" w:cs="Times New Roman"/>
          <w:color w:val="auto"/>
          <w:sz w:val="32"/>
          <w:szCs w:val="32"/>
        </w:rPr>
      </w:pPr>
      <w:r>
        <w:rPr>
          <w:rFonts w:hint="eastAsia" w:ascii="黑体" w:hAnsi="黑体" w:eastAsia="黑体" w:cs="Times New Roman"/>
          <w:color w:val="auto"/>
          <w:sz w:val="32"/>
          <w:szCs w:val="32"/>
        </w:rPr>
        <w:t>第二条</w:t>
      </w:r>
      <w:r>
        <w:rPr>
          <w:rFonts w:hint="eastAsia" w:ascii="仿宋" w:hAnsi="仿宋" w:eastAsia="仿宋" w:cs="Times New Roman"/>
          <w:color w:val="auto"/>
          <w:sz w:val="32"/>
          <w:szCs w:val="32"/>
        </w:rPr>
        <w:t xml:space="preserve"> </w:t>
      </w:r>
      <w:r>
        <w:rPr>
          <w:rFonts w:hint="eastAsia" w:ascii="仿宋_GB2312" w:hAnsi="仿宋" w:eastAsia="仿宋_GB2312" w:cs="Times New Roman"/>
          <w:color w:val="auto"/>
          <w:sz w:val="32"/>
          <w:szCs w:val="32"/>
        </w:rPr>
        <w:t>市、区县（市）设立人民调解“以奖代补”专项经费，列入各级财政预算。市、区县（市）司法行政部门和财政部门共同监管本级人民调解“以奖代补”专项经费。</w:t>
      </w:r>
    </w:p>
    <w:p>
      <w:pPr>
        <w:spacing w:line="560" w:lineRule="exact"/>
        <w:ind w:firstLine="640" w:firstLineChars="200"/>
        <w:rPr>
          <w:rFonts w:ascii="仿宋_GB2312" w:hAnsi="仿宋" w:eastAsia="仿宋_GB2312" w:cs="Times New Roman"/>
          <w:color w:val="auto"/>
          <w:sz w:val="32"/>
          <w:szCs w:val="32"/>
        </w:rPr>
      </w:pPr>
      <w:r>
        <w:rPr>
          <w:rFonts w:hint="eastAsia" w:ascii="黑体" w:hAnsi="黑体" w:eastAsia="黑体" w:cs="Times New Roman"/>
          <w:color w:val="auto"/>
          <w:sz w:val="32"/>
          <w:szCs w:val="32"/>
        </w:rPr>
        <w:t>第三条</w:t>
      </w:r>
      <w:r>
        <w:rPr>
          <w:rFonts w:hint="eastAsia" w:ascii="仿宋" w:hAnsi="仿宋" w:eastAsia="仿宋" w:cs="Times New Roman"/>
          <w:color w:val="auto"/>
          <w:sz w:val="32"/>
          <w:szCs w:val="32"/>
        </w:rPr>
        <w:t xml:space="preserve"> </w:t>
      </w:r>
      <w:r>
        <w:rPr>
          <w:rFonts w:hint="eastAsia" w:ascii="仿宋_GB2312" w:hAnsi="仿宋" w:eastAsia="仿宋_GB2312" w:cs="Times New Roman"/>
          <w:color w:val="auto"/>
          <w:sz w:val="32"/>
          <w:szCs w:val="32"/>
        </w:rPr>
        <w:t>人民调解“以奖代补”的奖励对象范围和条件、案件分类标准和实施程序按照《湖南省人民调解案件“以奖代补”管理办法》的规定执行。</w:t>
      </w:r>
    </w:p>
    <w:p>
      <w:pPr>
        <w:spacing w:line="560" w:lineRule="exact"/>
        <w:ind w:firstLine="640" w:firstLineChars="200"/>
        <w:rPr>
          <w:rFonts w:ascii="仿宋_GB2312" w:hAnsi="仿宋" w:eastAsia="仿宋_GB2312" w:cs="Times New Roman"/>
          <w:color w:val="auto"/>
          <w:sz w:val="32"/>
          <w:szCs w:val="32"/>
        </w:rPr>
      </w:pPr>
      <w:r>
        <w:rPr>
          <w:rFonts w:hint="eastAsia" w:ascii="黑体" w:hAnsi="黑体" w:eastAsia="黑体" w:cs="Times New Roman"/>
          <w:color w:val="auto"/>
          <w:sz w:val="32"/>
          <w:szCs w:val="32"/>
        </w:rPr>
        <w:t>第四条</w:t>
      </w:r>
      <w:r>
        <w:rPr>
          <w:rFonts w:hint="eastAsia" w:ascii="仿宋" w:hAnsi="仿宋" w:eastAsia="仿宋" w:cs="Times New Roman"/>
          <w:color w:val="auto"/>
          <w:sz w:val="32"/>
          <w:szCs w:val="32"/>
        </w:rPr>
        <w:t xml:space="preserve"> 市级</w:t>
      </w:r>
      <w:r>
        <w:rPr>
          <w:rFonts w:hint="eastAsia" w:ascii="仿宋_GB2312" w:hAnsi="仿宋" w:eastAsia="仿宋_GB2312" w:cs="Times New Roman"/>
          <w:color w:val="auto"/>
          <w:sz w:val="32"/>
          <w:szCs w:val="32"/>
        </w:rPr>
        <w:t>人民调解组织调解的案件按以下标准进行奖励：简单矛盾纠纷每件100元，一般矛盾纠纷每件200元，复杂疑难矛盾纠纷每件800元，重大矛盾纠纷每件1200元。</w:t>
      </w:r>
    </w:p>
    <w:p>
      <w:pPr>
        <w:spacing w:line="560" w:lineRule="exact"/>
        <w:ind w:firstLine="640" w:firstLineChars="200"/>
        <w:rPr>
          <w:rFonts w:ascii="仿宋_GB2312" w:hAnsi="仿宋" w:eastAsia="仿宋_GB2312" w:cs="Times New Roman"/>
          <w:color w:val="auto"/>
          <w:sz w:val="32"/>
          <w:szCs w:val="32"/>
        </w:rPr>
      </w:pPr>
      <w:r>
        <w:rPr>
          <w:rFonts w:hint="eastAsia" w:ascii="仿宋_GB2312" w:hAnsi="仿宋" w:eastAsia="仿宋_GB2312" w:cs="Times New Roman"/>
          <w:color w:val="auto"/>
          <w:sz w:val="32"/>
          <w:szCs w:val="32"/>
        </w:rPr>
        <w:t>区县（市）可参照上述标准制定符合本地区实际的奖励标准。奖励标准不得低于《湖南省人民调解案件“以奖代补”管理办法》规定的最低标准。</w:t>
      </w:r>
    </w:p>
    <w:p>
      <w:pPr>
        <w:spacing w:line="560" w:lineRule="exact"/>
        <w:ind w:firstLine="645"/>
        <w:rPr>
          <w:rFonts w:ascii="仿宋_GB2312" w:hAnsi="仿宋" w:eastAsia="仿宋_GB2312" w:cs="Times New Roman"/>
          <w:color w:val="auto"/>
          <w:sz w:val="32"/>
          <w:szCs w:val="32"/>
        </w:rPr>
      </w:pPr>
      <w:r>
        <w:rPr>
          <w:rFonts w:hint="eastAsia" w:ascii="黑体" w:hAnsi="黑体" w:eastAsia="黑体" w:cs="Times New Roman"/>
          <w:color w:val="auto"/>
          <w:sz w:val="32"/>
          <w:szCs w:val="32"/>
        </w:rPr>
        <w:t>第五条</w:t>
      </w:r>
      <w:r>
        <w:rPr>
          <w:rFonts w:hint="eastAsia" w:ascii="仿宋" w:hAnsi="仿宋" w:eastAsia="仿宋" w:cs="Times New Roman"/>
          <w:color w:val="auto"/>
          <w:sz w:val="32"/>
          <w:szCs w:val="32"/>
        </w:rPr>
        <w:t xml:space="preserve"> </w:t>
      </w:r>
      <w:r>
        <w:rPr>
          <w:rFonts w:hint="eastAsia" w:ascii="仿宋_GB2312" w:hAnsi="仿宋" w:eastAsia="仿宋_GB2312" w:cs="Times New Roman"/>
          <w:color w:val="auto"/>
          <w:sz w:val="32"/>
          <w:szCs w:val="32"/>
        </w:rPr>
        <w:t>“以奖代补”经费实行财政分级负担。市司法局明确市级人民调解组织的名称、调解范围。市级人民调解组织调解的案件，奖励经费由市级财政承担，具体数额根据实际情况，由市财政核定后确定，并列入部门预算。区县（市）人民调解组织调解的案件，奖励经费由区县（市）财政承担。</w:t>
      </w:r>
    </w:p>
    <w:p>
      <w:pPr>
        <w:spacing w:line="560" w:lineRule="exact"/>
        <w:ind w:firstLine="640" w:firstLineChars="200"/>
        <w:rPr>
          <w:rFonts w:ascii="仿宋" w:hAnsi="仿宋" w:eastAsia="仿宋" w:cs="Times New Roman"/>
          <w:color w:val="auto"/>
          <w:sz w:val="32"/>
          <w:szCs w:val="32"/>
        </w:rPr>
      </w:pPr>
      <w:r>
        <w:rPr>
          <w:rFonts w:hint="eastAsia" w:ascii="黑体" w:hAnsi="黑体" w:eastAsia="黑体" w:cs="Times New Roman"/>
          <w:color w:val="auto"/>
          <w:sz w:val="32"/>
          <w:szCs w:val="32"/>
        </w:rPr>
        <w:t>第六条</w:t>
      </w:r>
      <w:r>
        <w:rPr>
          <w:rFonts w:hint="eastAsia" w:ascii="仿宋" w:hAnsi="仿宋" w:eastAsia="仿宋" w:cs="Times New Roman"/>
          <w:color w:val="auto"/>
          <w:sz w:val="32"/>
          <w:szCs w:val="32"/>
        </w:rPr>
        <w:t xml:space="preserve"> </w:t>
      </w:r>
      <w:r>
        <w:rPr>
          <w:rFonts w:hint="eastAsia" w:ascii="仿宋_GB2312" w:hAnsi="仿宋" w:eastAsia="仿宋_GB2312" w:cs="Times New Roman"/>
          <w:color w:val="auto"/>
          <w:sz w:val="32"/>
          <w:szCs w:val="32"/>
        </w:rPr>
        <w:t>市本级人民调解“以奖代补”经费每半年发放一次，区县（市）人民调解“以奖代补”经费每年发放不少于两次。</w:t>
      </w:r>
    </w:p>
    <w:p>
      <w:pPr>
        <w:spacing w:line="560" w:lineRule="exact"/>
        <w:ind w:firstLine="640" w:firstLineChars="200"/>
        <w:rPr>
          <w:rFonts w:ascii="仿宋_GB2312" w:hAnsi="仿宋" w:eastAsia="仿宋_GB2312" w:cs="Times New Roman"/>
          <w:color w:val="auto"/>
          <w:sz w:val="32"/>
          <w:szCs w:val="32"/>
        </w:rPr>
      </w:pPr>
      <w:r>
        <w:rPr>
          <w:rFonts w:hint="eastAsia" w:ascii="黑体" w:hAnsi="黑体" w:eastAsia="黑体" w:cs="Times New Roman"/>
          <w:color w:val="auto"/>
          <w:sz w:val="32"/>
          <w:szCs w:val="32"/>
        </w:rPr>
        <w:t xml:space="preserve">第七条 </w:t>
      </w:r>
      <w:r>
        <w:rPr>
          <w:rFonts w:hint="eastAsia" w:ascii="仿宋_GB2312" w:hAnsi="仿宋" w:eastAsia="仿宋_GB2312" w:cs="Times New Roman"/>
          <w:color w:val="auto"/>
          <w:sz w:val="32"/>
          <w:szCs w:val="32"/>
        </w:rPr>
        <w:t>市县两级司法局、财政局要加大人民调解案件“以奖代补”经费管理和经费使用的监督检查力度，防止出现虚领冒领、挤占挪用和截留奖励经费等违法违规操作现象。</w:t>
      </w:r>
    </w:p>
    <w:p>
      <w:pPr>
        <w:spacing w:line="560" w:lineRule="exact"/>
        <w:ind w:firstLine="640" w:firstLineChars="200"/>
        <w:rPr>
          <w:rFonts w:ascii="仿宋_GB2312" w:hAnsi="仿宋" w:eastAsia="仿宋_GB2312" w:cs="Times New Roman"/>
          <w:color w:val="auto"/>
          <w:sz w:val="32"/>
          <w:szCs w:val="32"/>
        </w:rPr>
      </w:pPr>
      <w:r>
        <w:rPr>
          <w:rFonts w:hint="eastAsia" w:ascii="仿宋_GB2312" w:hAnsi="仿宋" w:eastAsia="仿宋_GB2312" w:cs="Times New Roman"/>
          <w:color w:val="auto"/>
          <w:sz w:val="32"/>
          <w:szCs w:val="32"/>
        </w:rPr>
        <w:t>公职人员不得领取人民调解案件“以奖代补”资金。</w:t>
      </w:r>
    </w:p>
    <w:p>
      <w:pPr>
        <w:spacing w:line="560" w:lineRule="exact"/>
        <w:ind w:firstLine="640" w:firstLineChars="200"/>
        <w:rPr>
          <w:rFonts w:ascii="仿宋_GB2312" w:hAnsi="仿宋" w:eastAsia="仿宋_GB2312" w:cs="Times New Roman"/>
          <w:color w:val="auto"/>
          <w:sz w:val="32"/>
          <w:szCs w:val="32"/>
        </w:rPr>
      </w:pPr>
      <w:r>
        <w:rPr>
          <w:rFonts w:hint="eastAsia" w:ascii="仿宋_GB2312" w:hAnsi="仿宋" w:eastAsia="仿宋_GB2312" w:cs="Times New Roman"/>
          <w:color w:val="auto"/>
          <w:sz w:val="32"/>
          <w:szCs w:val="32"/>
        </w:rPr>
        <w:t>对弄虚作假、挪用资金的行为要按规定严肃追究有关单位和责任人的责任，情节严重的交有关部门依法依规处理。</w:t>
      </w:r>
    </w:p>
    <w:p>
      <w:pPr>
        <w:spacing w:line="560" w:lineRule="exact"/>
        <w:ind w:firstLine="640" w:firstLineChars="200"/>
        <w:rPr>
          <w:rFonts w:ascii="仿宋_GB2312" w:hAnsi="仿宋" w:eastAsia="仿宋_GB2312" w:cs="Times New Roman"/>
          <w:color w:val="auto"/>
          <w:sz w:val="32"/>
          <w:szCs w:val="32"/>
        </w:rPr>
      </w:pPr>
      <w:r>
        <w:rPr>
          <w:rFonts w:hint="eastAsia" w:ascii="黑体" w:hAnsi="黑体" w:eastAsia="黑体" w:cs="Times New Roman"/>
          <w:color w:val="auto"/>
          <w:sz w:val="32"/>
          <w:szCs w:val="32"/>
        </w:rPr>
        <w:t>第八条</w:t>
      </w:r>
      <w:r>
        <w:rPr>
          <w:rFonts w:hint="eastAsia" w:ascii="仿宋" w:hAnsi="仿宋" w:eastAsia="仿宋" w:cs="Times New Roman"/>
          <w:color w:val="auto"/>
          <w:sz w:val="32"/>
          <w:szCs w:val="32"/>
        </w:rPr>
        <w:t xml:space="preserve"> </w:t>
      </w:r>
      <w:r>
        <w:rPr>
          <w:rFonts w:hint="eastAsia" w:ascii="仿宋_GB2312" w:hAnsi="仿宋" w:eastAsia="仿宋_GB2312" w:cs="Times New Roman"/>
          <w:color w:val="auto"/>
          <w:sz w:val="32"/>
          <w:szCs w:val="32"/>
        </w:rPr>
        <w:t>企事业单位根据《中华人民共和国人民调解法》设立的人民调解委员会的调解员调解矛盾纠纷，可由所在企事业单位参照本办法建立“以奖代补”制度，案件</w:t>
      </w:r>
      <w:r>
        <w:rPr>
          <w:rFonts w:hint="eastAsia" w:ascii="仿宋_GB2312" w:hAnsi="仿宋" w:eastAsia="仿宋_GB2312" w:cs="Times New Roman"/>
          <w:bCs/>
          <w:color w:val="auto"/>
          <w:sz w:val="32"/>
          <w:szCs w:val="32"/>
        </w:rPr>
        <w:t>补助</w:t>
      </w:r>
      <w:r>
        <w:rPr>
          <w:rFonts w:hint="eastAsia" w:ascii="仿宋_GB2312" w:hAnsi="仿宋" w:eastAsia="仿宋_GB2312" w:cs="Times New Roman"/>
          <w:color w:val="auto"/>
          <w:sz w:val="32"/>
          <w:szCs w:val="32"/>
        </w:rPr>
        <w:t>标准自行确定，经费由企事业单位自行解决。</w:t>
      </w:r>
    </w:p>
    <w:p>
      <w:pPr>
        <w:spacing w:line="560" w:lineRule="exact"/>
        <w:ind w:firstLine="640" w:firstLineChars="200"/>
        <w:rPr>
          <w:rFonts w:ascii="仿宋_GB2312" w:hAnsi="仿宋" w:eastAsia="仿宋_GB2312" w:cs="Times New Roman"/>
          <w:color w:val="auto"/>
          <w:sz w:val="32"/>
          <w:szCs w:val="32"/>
        </w:rPr>
      </w:pPr>
      <w:r>
        <w:rPr>
          <w:rFonts w:hint="eastAsia" w:ascii="黑体" w:hAnsi="黑体" w:eastAsia="黑体" w:cs="Times New Roman"/>
          <w:color w:val="auto"/>
          <w:sz w:val="32"/>
          <w:szCs w:val="32"/>
        </w:rPr>
        <w:t>第九条</w:t>
      </w:r>
      <w:r>
        <w:rPr>
          <w:rFonts w:hint="eastAsia" w:ascii="仿宋" w:hAnsi="仿宋" w:eastAsia="仿宋" w:cs="Times New Roman"/>
          <w:color w:val="auto"/>
          <w:sz w:val="32"/>
          <w:szCs w:val="32"/>
        </w:rPr>
        <w:t xml:space="preserve"> </w:t>
      </w:r>
      <w:r>
        <w:rPr>
          <w:rFonts w:hint="eastAsia" w:ascii="仿宋_GB2312" w:hAnsi="仿宋" w:eastAsia="仿宋_GB2312" w:cs="Times New Roman"/>
          <w:color w:val="auto"/>
          <w:sz w:val="32"/>
          <w:szCs w:val="32"/>
        </w:rPr>
        <w:t>本实施细则自</w:t>
      </w:r>
      <w:r>
        <w:rPr>
          <w:rFonts w:hint="eastAsia" w:ascii="仿宋_GB2312" w:hAnsi="仿宋" w:eastAsia="仿宋_GB2312" w:cs="Times New Roman"/>
          <w:color w:val="auto"/>
          <w:sz w:val="32"/>
          <w:szCs w:val="32"/>
          <w:lang w:eastAsia="zh-CN"/>
        </w:rPr>
        <w:t>公布之日</w:t>
      </w:r>
      <w:r>
        <w:rPr>
          <w:rFonts w:hint="eastAsia" w:ascii="仿宋_GB2312" w:hAnsi="仿宋" w:eastAsia="仿宋_GB2312" w:cs="Times New Roman"/>
          <w:color w:val="auto"/>
          <w:sz w:val="32"/>
          <w:szCs w:val="32"/>
        </w:rPr>
        <w:t>起施行，有效期</w:t>
      </w:r>
      <w:r>
        <w:rPr>
          <w:rFonts w:hint="eastAsia" w:ascii="仿宋_GB2312" w:hAnsi="仿宋" w:eastAsia="仿宋_GB2312" w:cs="Times New Roman"/>
          <w:color w:val="auto"/>
          <w:sz w:val="32"/>
          <w:szCs w:val="32"/>
          <w:lang w:val="en-US" w:eastAsia="zh-CN"/>
        </w:rPr>
        <w:t>至2029年1月31日</w:t>
      </w:r>
      <w:r>
        <w:rPr>
          <w:rFonts w:hint="eastAsia" w:ascii="仿宋_GB2312" w:hAnsi="仿宋" w:eastAsia="仿宋_GB2312" w:cs="Times New Roman"/>
          <w:color w:val="auto"/>
          <w:sz w:val="32"/>
          <w:szCs w:val="32"/>
        </w:rPr>
        <w:t>。</w:t>
      </w:r>
    </w:p>
    <w:p>
      <w:pPr>
        <w:pStyle w:val="2"/>
        <w:rPr>
          <w:sz w:val="32"/>
          <w:szCs w:val="32"/>
        </w:rPr>
      </w:pPr>
    </w:p>
    <w:p>
      <w:pPr>
        <w:pStyle w:val="3"/>
        <w:ind w:left="0" w:leftChars="0" w:firstLine="0" w:firstLineChars="0"/>
      </w:pPr>
    </w:p>
    <w:p/>
    <w:p>
      <w:pPr>
        <w:pStyle w:val="2"/>
      </w:pPr>
    </w:p>
    <w:p>
      <w:pPr>
        <w:pStyle w:val="3"/>
      </w:pPr>
    </w:p>
    <w:p/>
    <w:p>
      <w:pPr>
        <w:pStyle w:val="2"/>
      </w:pPr>
    </w:p>
    <w:p>
      <w:pPr>
        <w:pStyle w:val="3"/>
        <w:ind w:left="1680"/>
      </w:pPr>
    </w:p>
    <w:p/>
    <w:p>
      <w:pPr>
        <w:pStyle w:val="2"/>
      </w:pPr>
    </w:p>
    <w:p>
      <w:pPr>
        <w:pStyle w:val="3"/>
        <w:ind w:left="1680"/>
      </w:pPr>
    </w:p>
    <w:p/>
    <w:p>
      <w:pPr>
        <w:pStyle w:val="2"/>
      </w:pPr>
    </w:p>
    <w:p>
      <w:pPr>
        <w:pStyle w:val="3"/>
        <w:ind w:left="1680"/>
      </w:pPr>
    </w:p>
    <w:p/>
    <w:p>
      <w:pPr>
        <w:pStyle w:val="2"/>
      </w:pPr>
    </w:p>
    <w:p>
      <w:pPr>
        <w:pStyle w:val="3"/>
        <w:ind w:left="1680"/>
      </w:pPr>
    </w:p>
    <w:p/>
    <w:p>
      <w:pPr>
        <w:pStyle w:val="2"/>
      </w:pPr>
    </w:p>
    <w:p>
      <w:pPr>
        <w:pStyle w:val="3"/>
        <w:ind w:left="1680"/>
      </w:pPr>
    </w:p>
    <w:p/>
    <w:p>
      <w:pPr>
        <w:pStyle w:val="2"/>
      </w:pPr>
    </w:p>
    <w:p>
      <w:pPr>
        <w:pStyle w:val="3"/>
        <w:ind w:left="1680"/>
      </w:pPr>
    </w:p>
    <w:p/>
    <w:p>
      <w:pPr>
        <w:pStyle w:val="2"/>
      </w:pPr>
    </w:p>
    <w:p>
      <w:pPr>
        <w:pStyle w:val="3"/>
        <w:ind w:left="1680"/>
      </w:pPr>
    </w:p>
    <w:p/>
    <w:p>
      <w:pPr>
        <w:pStyle w:val="2"/>
      </w:pPr>
    </w:p>
    <w:p>
      <w:pPr>
        <w:pStyle w:val="3"/>
        <w:ind w:left="1680"/>
      </w:pPr>
    </w:p>
    <w:p/>
    <w:p>
      <w:pPr>
        <w:pStyle w:val="2"/>
      </w:pPr>
    </w:p>
    <w:p>
      <w:pPr>
        <w:pStyle w:val="3"/>
        <w:ind w:left="1680"/>
      </w:pPr>
    </w:p>
    <w:p/>
    <w:p>
      <w:pPr>
        <w:pStyle w:val="2"/>
      </w:pPr>
    </w:p>
    <w:p>
      <w:pPr>
        <w:pStyle w:val="3"/>
        <w:ind w:left="1680"/>
      </w:pPr>
    </w:p>
    <w:p/>
    <w:p>
      <w:pPr>
        <w:pStyle w:val="2"/>
      </w:pPr>
    </w:p>
    <w:p>
      <w:pPr>
        <w:pStyle w:val="2"/>
      </w:pPr>
    </w:p>
    <w:p>
      <w:pPr>
        <w:pStyle w:val="3"/>
        <w:ind w:left="1680"/>
      </w:pPr>
    </w:p>
    <w:p>
      <w:pPr>
        <w:pStyle w:val="3"/>
        <w:ind w:left="0" w:leftChars="0"/>
      </w:pPr>
    </w:p>
    <w:p>
      <w:pPr>
        <w:pStyle w:val="2"/>
      </w:pPr>
    </w:p>
    <w:p>
      <w:pPr>
        <w:spacing w:line="260" w:lineRule="exact"/>
        <w:rPr>
          <w:rFonts w:ascii="仿宋_GB2312" w:eastAsia="仿宋_GB2312"/>
          <w:sz w:val="32"/>
        </w:rPr>
      </w:pPr>
    </w:p>
    <w:p>
      <w:pPr>
        <w:spacing w:line="260" w:lineRule="exact"/>
        <w:rPr>
          <w:rFonts w:ascii="仿宋_GB2312" w:eastAsia="仿宋_GB2312"/>
          <w:sz w:val="32"/>
        </w:rPr>
      </w:pPr>
    </w:p>
    <w:p>
      <w:pPr>
        <w:spacing w:line="260" w:lineRule="exact"/>
        <w:rPr>
          <w:rFonts w:ascii="仿宋_GB2312" w:eastAsia="仿宋_GB2312"/>
          <w:sz w:val="32"/>
        </w:rPr>
      </w:pPr>
    </w:p>
    <w:p>
      <w:pPr>
        <w:spacing w:line="260" w:lineRule="exact"/>
        <w:rPr>
          <w:rFonts w:ascii="仿宋_GB2312" w:eastAsia="仿宋_GB2312"/>
          <w:sz w:val="32"/>
        </w:rPr>
      </w:pPr>
    </w:p>
    <w:p>
      <w:pPr>
        <w:spacing w:line="260" w:lineRule="exact"/>
        <w:rPr>
          <w:rFonts w:ascii="仿宋_GB2312" w:eastAsia="仿宋_GB2312"/>
          <w:sz w:val="32"/>
        </w:rPr>
      </w:pPr>
    </w:p>
    <w:p>
      <w:pPr>
        <w:spacing w:line="260" w:lineRule="exact"/>
        <w:rPr>
          <w:rFonts w:ascii="宋体" w:hAnsi="宋体"/>
          <w:b/>
          <w:sz w:val="28"/>
          <w:szCs w:val="28"/>
          <w:u w:val="single"/>
        </w:rPr>
      </w:pPr>
      <w:r>
        <w:rPr>
          <w:rFonts w:hint="eastAsia" w:ascii="宋体" w:hAnsi="宋体"/>
          <w:b/>
          <w:sz w:val="28"/>
          <w:szCs w:val="28"/>
          <w:u w:val="single"/>
        </w:rPr>
        <w:t xml:space="preserve">                                                              </w:t>
      </w:r>
    </w:p>
    <w:p>
      <w:pPr>
        <w:spacing w:line="400" w:lineRule="exact"/>
        <w:rPr>
          <w:rFonts w:ascii="仿宋_GB2312" w:eastAsia="仿宋_GB2312"/>
          <w:sz w:val="28"/>
          <w:szCs w:val="28"/>
        </w:rPr>
      </w:pPr>
      <w:r>
        <w:rPr>
          <w:rFonts w:hint="eastAsia" w:ascii="仿宋_GB2312" w:eastAsia="仿宋_GB2312"/>
          <w:sz w:val="28"/>
          <w:szCs w:val="28"/>
        </w:rPr>
        <w:t>长沙市司法局办公室                       202</w:t>
      </w:r>
      <w:r>
        <w:rPr>
          <w:rFonts w:hint="eastAsia" w:ascii="仿宋_GB2312" w:eastAsia="仿宋_GB2312"/>
          <w:sz w:val="28"/>
          <w:szCs w:val="28"/>
          <w:lang w:val="en-US" w:eastAsia="zh-CN"/>
        </w:rPr>
        <w:t>6</w:t>
      </w:r>
      <w:r>
        <w:rPr>
          <w:rFonts w:hint="eastAsia" w:ascii="仿宋_GB2312" w:eastAsia="仿宋_GB2312"/>
          <w:sz w:val="28"/>
          <w:szCs w:val="28"/>
        </w:rPr>
        <w:t>年</w:t>
      </w:r>
      <w:r>
        <w:rPr>
          <w:rFonts w:hint="eastAsia" w:ascii="仿宋_GB2312" w:eastAsia="仿宋_GB2312"/>
          <w:sz w:val="28"/>
          <w:szCs w:val="28"/>
          <w:lang w:val="en-US" w:eastAsia="zh-CN"/>
        </w:rPr>
        <w:t>3</w:t>
      </w:r>
      <w:r>
        <w:rPr>
          <w:rFonts w:hint="eastAsia" w:ascii="仿宋_GB2312" w:eastAsia="仿宋_GB2312"/>
          <w:sz w:val="28"/>
          <w:szCs w:val="28"/>
        </w:rPr>
        <w:t>月</w:t>
      </w:r>
      <w:r>
        <w:rPr>
          <w:rFonts w:hint="eastAsia" w:ascii="仿宋_GB2312" w:eastAsia="仿宋_GB2312"/>
          <w:sz w:val="28"/>
          <w:szCs w:val="28"/>
          <w:lang w:val="en-US" w:eastAsia="zh-CN"/>
        </w:rPr>
        <w:t>23</w:t>
      </w:r>
      <w:r>
        <w:rPr>
          <w:rFonts w:hint="eastAsia" w:ascii="仿宋_GB2312" w:eastAsia="仿宋_GB2312"/>
          <w:sz w:val="28"/>
          <w:szCs w:val="28"/>
        </w:rPr>
        <w:t xml:space="preserve">日印发    </w:t>
      </w:r>
    </w:p>
    <w:p>
      <w:pPr>
        <w:spacing w:line="140" w:lineRule="exact"/>
        <w:rPr>
          <w:rFonts w:ascii="仿宋_GB2312" w:eastAsia="仿宋_GB2312"/>
          <w:sz w:val="28"/>
          <w:szCs w:val="28"/>
          <w:u w:val="single"/>
        </w:rPr>
      </w:pPr>
      <w:r>
        <w:rPr>
          <w:rFonts w:hint="eastAsia" w:ascii="仿宋_GB2312" w:eastAsia="仿宋_GB2312"/>
          <w:sz w:val="28"/>
          <w:szCs w:val="28"/>
          <w:u w:val="single"/>
        </w:rPr>
        <w:t xml:space="preserve">                                                               </w:t>
      </w:r>
    </w:p>
    <w:sectPr>
      <w:footerReference r:id="rId3" w:type="default"/>
      <w:footerReference r:id="rId4" w:type="even"/>
      <w:pgSz w:w="11906" w:h="16838"/>
      <w:pgMar w:top="1758" w:right="1588" w:bottom="1985" w:left="1588" w:header="851" w:footer="107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896394664"/>
      <w:docPartObj>
        <w:docPartGallery w:val="autotext"/>
      </w:docPartObj>
    </w:sdtPr>
    <w:sdtEndPr>
      <w:rPr>
        <w:sz w:val="24"/>
        <w:szCs w:val="24"/>
      </w:rPr>
    </w:sdtEndPr>
    <w:sdtContent>
      <w:p>
        <w:pPr>
          <w:pStyle w:val="2"/>
          <w:jc w:val="right"/>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1 -</w:t>
        </w:r>
        <w:r>
          <w:rPr>
            <w:sz w:val="24"/>
            <w:szCs w:val="24"/>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919906648"/>
      <w:docPartObj>
        <w:docPartGallery w:val="autotext"/>
      </w:docPartObj>
    </w:sdtPr>
    <w:sdtEndPr>
      <w:rPr>
        <w:sz w:val="24"/>
        <w:szCs w:val="24"/>
      </w:rPr>
    </w:sdtEndPr>
    <w:sdtContent>
      <w:p>
        <w:pPr>
          <w:pStyle w:val="2"/>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2 -</w:t>
        </w:r>
        <w:r>
          <w:rPr>
            <w:sz w:val="24"/>
            <w:szCs w:val="24"/>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954D5C"/>
    <w:rsid w:val="000041A1"/>
    <w:rsid w:val="00014CE2"/>
    <w:rsid w:val="001245B6"/>
    <w:rsid w:val="00131AFD"/>
    <w:rsid w:val="001768E7"/>
    <w:rsid w:val="00181C98"/>
    <w:rsid w:val="001B68F8"/>
    <w:rsid w:val="00342C26"/>
    <w:rsid w:val="004239F8"/>
    <w:rsid w:val="005F1735"/>
    <w:rsid w:val="00733A06"/>
    <w:rsid w:val="00845458"/>
    <w:rsid w:val="008B32DD"/>
    <w:rsid w:val="008F3CFB"/>
    <w:rsid w:val="00906B07"/>
    <w:rsid w:val="00956309"/>
    <w:rsid w:val="009A4A44"/>
    <w:rsid w:val="009D4075"/>
    <w:rsid w:val="009E45CE"/>
    <w:rsid w:val="00A13133"/>
    <w:rsid w:val="00AA4C06"/>
    <w:rsid w:val="00AA51E3"/>
    <w:rsid w:val="00AB6010"/>
    <w:rsid w:val="00AC7725"/>
    <w:rsid w:val="00AF7012"/>
    <w:rsid w:val="00B32AFA"/>
    <w:rsid w:val="00D32BF3"/>
    <w:rsid w:val="00D64FA3"/>
    <w:rsid w:val="00D9237B"/>
    <w:rsid w:val="00DA3919"/>
    <w:rsid w:val="00DA7B0B"/>
    <w:rsid w:val="00DD618A"/>
    <w:rsid w:val="00DE49CF"/>
    <w:rsid w:val="00E075FA"/>
    <w:rsid w:val="00F23C30"/>
    <w:rsid w:val="00FA0110"/>
    <w:rsid w:val="02EB3BFD"/>
    <w:rsid w:val="0D972100"/>
    <w:rsid w:val="0F9D6F39"/>
    <w:rsid w:val="11C02486"/>
    <w:rsid w:val="17954D5C"/>
    <w:rsid w:val="1D4A7CF9"/>
    <w:rsid w:val="1D6A4E1A"/>
    <w:rsid w:val="2A864B73"/>
    <w:rsid w:val="2FD84406"/>
    <w:rsid w:val="3509056A"/>
    <w:rsid w:val="37FDB274"/>
    <w:rsid w:val="3CCEAF3E"/>
    <w:rsid w:val="3EFEB00B"/>
    <w:rsid w:val="53EB3132"/>
    <w:rsid w:val="59556A23"/>
    <w:rsid w:val="5F168381"/>
    <w:rsid w:val="64BE4AAE"/>
    <w:rsid w:val="6C5C38E8"/>
    <w:rsid w:val="6C6C7831"/>
    <w:rsid w:val="6CA56CF0"/>
    <w:rsid w:val="70ED58C0"/>
    <w:rsid w:val="77FA20D9"/>
    <w:rsid w:val="7CD9083C"/>
    <w:rsid w:val="7CF51BA9"/>
    <w:rsid w:val="7D0637B8"/>
    <w:rsid w:val="7DAFDD04"/>
    <w:rsid w:val="7FFDE671"/>
    <w:rsid w:val="9FDF2614"/>
    <w:rsid w:val="9FE72FCA"/>
    <w:rsid w:val="9FFF53E8"/>
    <w:rsid w:val="AEEFC918"/>
    <w:rsid w:val="AFEDB437"/>
    <w:rsid w:val="B7FF9E26"/>
    <w:rsid w:val="B9FBD78D"/>
    <w:rsid w:val="BDE706EB"/>
    <w:rsid w:val="BF87E31C"/>
    <w:rsid w:val="E9DF4A4F"/>
    <w:rsid w:val="EEFF450D"/>
    <w:rsid w:val="EF4EBC30"/>
    <w:rsid w:val="EFFB7ADA"/>
    <w:rsid w:val="F56F9976"/>
    <w:rsid w:val="FB6F8E2F"/>
    <w:rsid w:val="FBFF9116"/>
    <w:rsid w:val="FEEF8C83"/>
    <w:rsid w:val="FEEFC1AB"/>
    <w:rsid w:val="FFED227E"/>
    <w:rsid w:val="FFFDB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0"/>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800" w:leftChars="800"/>
    </w:pPr>
  </w:style>
  <w:style w:type="paragraph" w:styleId="4">
    <w:name w:val="Date"/>
    <w:basedOn w:val="1"/>
    <w:next w:val="1"/>
    <w:link w:val="11"/>
    <w:qFormat/>
    <w:uiPriority w:val="0"/>
    <w:pPr>
      <w:ind w:left="100" w:leftChars="2500"/>
    </w:pPr>
  </w:style>
  <w:style w:type="paragraph" w:styleId="5">
    <w:name w:val="Balloon Text"/>
    <w:basedOn w:val="1"/>
    <w:link w:val="12"/>
    <w:qFormat/>
    <w:uiPriority w:val="0"/>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kern w:val="2"/>
      <w:sz w:val="18"/>
      <w:szCs w:val="18"/>
    </w:rPr>
  </w:style>
  <w:style w:type="character" w:customStyle="1" w:styleId="10">
    <w:name w:val="页脚 Char"/>
    <w:basedOn w:val="8"/>
    <w:link w:val="2"/>
    <w:qFormat/>
    <w:uiPriority w:val="99"/>
    <w:rPr>
      <w:kern w:val="2"/>
      <w:sz w:val="18"/>
      <w:szCs w:val="18"/>
    </w:rPr>
  </w:style>
  <w:style w:type="character" w:customStyle="1" w:styleId="11">
    <w:name w:val="日期 Char"/>
    <w:basedOn w:val="8"/>
    <w:link w:val="4"/>
    <w:qFormat/>
    <w:uiPriority w:val="0"/>
    <w:rPr>
      <w:rFonts w:asciiTheme="minorHAnsi" w:hAnsiTheme="minorHAnsi" w:eastAsiaTheme="minorEastAsia" w:cstheme="minorBidi"/>
      <w:kern w:val="2"/>
      <w:sz w:val="21"/>
      <w:szCs w:val="24"/>
    </w:rPr>
  </w:style>
  <w:style w:type="character" w:customStyle="1" w:styleId="12">
    <w:name w:val="批注框文本 Char"/>
    <w:basedOn w:val="8"/>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4</Pages>
  <Words>1103</Words>
  <Characters>351</Characters>
  <Lines>2</Lines>
  <Paragraphs>2</Paragraphs>
  <TotalTime>1</TotalTime>
  <ScaleCrop>false</ScaleCrop>
  <LinksUpToDate>false</LinksUpToDate>
  <CharactersWithSpaces>1452</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2021-01-15T01:10:00Z</dcterms:created>
  <dc:creator>rain</dc:creator>
  <cp:lastModifiedBy>kylin</cp:lastModifiedBy>
  <cp:lastPrinted>2026-02-05T22:30:00Z</cp:lastPrinted>
  <dcterms:modified xsi:type="dcterms:W3CDTF">2026-04-02T11:51:35Z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