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仿宋" w:cs="Times New Roman"/>
          <w:spacing w:val="0"/>
          <w:sz w:val="32"/>
          <w:szCs w:val="32"/>
        </w:rPr>
      </w:pPr>
      <w:r>
        <w:rPr>
          <w:rFonts w:hint="default" w:ascii="Times New Roman" w:hAnsi="Times New Roman" w:eastAsia="仿宋" w:cs="Times New Roman"/>
          <w:spacing w:val="0"/>
          <w:sz w:val="32"/>
          <w:szCs w:val="32"/>
        </w:rPr>
        <w:t>CSCR</w:t>
      </w:r>
      <w:r>
        <w:rPr>
          <w:rFonts w:hint="eastAsia" w:eastAsia="仿宋" w:cs="Times New Roman"/>
          <w:spacing w:val="0"/>
          <w:sz w:val="32"/>
          <w:szCs w:val="32"/>
          <w:lang w:eastAsia="zh-CN"/>
        </w:rPr>
        <w:t>—</w:t>
      </w:r>
      <w:r>
        <w:rPr>
          <w:rFonts w:hint="default" w:ascii="Times New Roman" w:hAnsi="Times New Roman" w:eastAsia="仿宋" w:cs="Times New Roman"/>
          <w:spacing w:val="0"/>
          <w:sz w:val="32"/>
          <w:szCs w:val="32"/>
        </w:rPr>
        <w:t>2026</w:t>
      </w:r>
      <w:r>
        <w:rPr>
          <w:rFonts w:hint="eastAsia" w:eastAsia="仿宋" w:cs="Times New Roman"/>
          <w:spacing w:val="0"/>
          <w:sz w:val="32"/>
          <w:szCs w:val="32"/>
          <w:lang w:eastAsia="zh-CN"/>
        </w:rPr>
        <w:t>—</w:t>
      </w:r>
      <w:r>
        <w:rPr>
          <w:rFonts w:hint="default" w:ascii="Times New Roman" w:hAnsi="Times New Roman" w:eastAsia="仿宋" w:cs="Times New Roman"/>
          <w:spacing w:val="0"/>
          <w:sz w:val="32"/>
          <w:szCs w:val="32"/>
        </w:rPr>
        <w:t>20002</w:t>
      </w:r>
      <w:r>
        <w:rPr>
          <w:rFonts w:hint="default" w:ascii="Times New Roman" w:hAnsi="Times New Roman" w:cs="Times New Roman"/>
          <w:spacing w:val="0"/>
        </w:rPr>
        <mc:AlternateContent>
          <mc:Choice Requires="wps">
            <w:drawing>
              <wp:anchor distT="0" distB="0" distL="114300" distR="114300" simplePos="0" relativeHeight="251660288" behindDoc="0" locked="0" layoutInCell="1" allowOverlap="1">
                <wp:simplePos x="0" y="0"/>
                <wp:positionH relativeFrom="column">
                  <wp:posOffset>-6350</wp:posOffset>
                </wp:positionH>
                <wp:positionV relativeFrom="paragraph">
                  <wp:posOffset>1141095</wp:posOffset>
                </wp:positionV>
                <wp:extent cx="4464685" cy="1329690"/>
                <wp:effectExtent l="0" t="0" r="12065" b="3810"/>
                <wp:wrapNone/>
                <wp:docPr id="9" name="文本框 9"/>
                <wp:cNvGraphicFramePr/>
                <a:graphic xmlns:a="http://schemas.openxmlformats.org/drawingml/2006/main">
                  <a:graphicData uri="http://schemas.microsoft.com/office/word/2010/wordprocessingShape">
                    <wps:wsp>
                      <wps:cNvSpPr txBox="true"/>
                      <wps:spPr>
                        <a:xfrm>
                          <a:off x="0" y="0"/>
                          <a:ext cx="4464685" cy="1329690"/>
                        </a:xfrm>
                        <a:prstGeom prst="rect">
                          <a:avLst/>
                        </a:prstGeom>
                        <a:solidFill>
                          <a:srgbClr val="FFFFFF"/>
                        </a:solidFill>
                        <a:ln>
                          <a:noFill/>
                        </a:ln>
                        <a:effectLst/>
                      </wps:spPr>
                      <wps:txbx>
                        <w:txbxContent>
                          <w:p>
                            <w:pPr>
                              <w:spacing w:line="1060" w:lineRule="exact"/>
                              <w:ind w:left="0" w:leftChars="0" w:firstLine="0" w:firstLineChars="0"/>
                              <w:jc w:val="distribute"/>
                              <w:rPr>
                                <w:rFonts w:hint="default" w:ascii="方正小标宋简体" w:hAnsi="Times New Roman" w:eastAsia="方正小标宋简体" w:cs="方正小标宋简体"/>
                                <w:color w:val="FF0000"/>
                                <w:w w:val="75"/>
                                <w:sz w:val="86"/>
                                <w:szCs w:val="86"/>
                                <w:vertAlign w:val="baseline"/>
                                <w:lang w:val="en-US" w:eastAsia="zh-CN"/>
                              </w:rPr>
                            </w:pPr>
                          </w:p>
                        </w:txbxContent>
                      </wps:txbx>
                      <wps:bodyPr lIns="0" tIns="0" rIns="0" bIns="0" upright="true"/>
                    </wps:wsp>
                  </a:graphicData>
                </a:graphic>
              </wp:anchor>
            </w:drawing>
          </mc:Choice>
          <mc:Fallback>
            <w:pict>
              <v:shape id="_x0000_s1026" o:spid="_x0000_s1026" o:spt="202" type="#_x0000_t202" style="position:absolute;left:0pt;margin-left:-0.5pt;margin-top:89.85pt;height:104.7pt;width:351.55pt;z-index:251660288;mso-width-relative:page;mso-height-relative:page;" fillcolor="#FFFFFF" filled="t" stroked="f" coordsize="21600,21600" o:gfxdata="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FgAAAGRycy9QSwECFAAUAAAACACHTuJAHtU3VtoAAAAKAQAADwAAAAAAAAAB&#10;ACAAAAA4AAAAZHJzL2Rvd25yZXYueG1sUEsBAhQAFAAAAAgAh07iQNAVTVG/AQAAYgMAAA4AAAAA&#10;AAAAAQAgAAAAPwEAAGRycy9lMm9Eb2MueG1sUEsFBgAAAAAGAAYAWQEAAHAFAAAAAA==&#10;">
                <v:fill on="t" focussize="0,0"/>
                <v:stroke on="f"/>
                <v:imagedata o:title=""/>
                <o:lock v:ext="edit" aspectratio="f"/>
                <v:textbox inset="0mm,0mm,0mm,0mm">
                  <w:txbxContent>
                    <w:p>
                      <w:pPr>
                        <w:spacing w:line="1060" w:lineRule="exact"/>
                        <w:ind w:left="0" w:leftChars="0" w:firstLine="0" w:firstLineChars="0"/>
                        <w:jc w:val="distribute"/>
                        <w:rPr>
                          <w:rFonts w:hint="default" w:ascii="方正小标宋简体" w:hAnsi="Times New Roman" w:eastAsia="方正小标宋简体" w:cs="方正小标宋简体"/>
                          <w:color w:val="FF0000"/>
                          <w:w w:val="75"/>
                          <w:sz w:val="86"/>
                          <w:szCs w:val="86"/>
                          <w:vertAlign w:val="baseline"/>
                          <w:lang w:val="en-US" w:eastAsia="zh-CN"/>
                        </w:rPr>
                      </w:pPr>
                    </w:p>
                  </w:txbxContent>
                </v:textbox>
              </v:shape>
            </w:pict>
          </mc:Fallback>
        </mc:AlternateContent>
      </w:r>
      <w:r>
        <w:rPr>
          <w:rFonts w:hint="default" w:ascii="Times New Roman" w:hAnsi="Times New Roman" w:cs="Times New Roman"/>
          <w:spacing w:val="0"/>
        </w:rPr>
        <mc:AlternateContent>
          <mc:Choice Requires="wps">
            <w:drawing>
              <wp:anchor distT="0" distB="0" distL="114300" distR="114300" simplePos="0" relativeHeight="251659264" behindDoc="0" locked="0" layoutInCell="1" allowOverlap="1">
                <wp:simplePos x="0" y="0"/>
                <wp:positionH relativeFrom="column">
                  <wp:posOffset>18415</wp:posOffset>
                </wp:positionH>
                <wp:positionV relativeFrom="paragraph">
                  <wp:posOffset>3478530</wp:posOffset>
                </wp:positionV>
                <wp:extent cx="5561965" cy="2667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561965" cy="26670"/>
                        </a:xfrm>
                        <a:prstGeom prst="line">
                          <a:avLst/>
                        </a:prstGeom>
                        <a:ln w="19050" cap="flat" cmpd="sng">
                          <a:no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1.45pt;margin-top:273.9pt;height:2.1pt;width:437.95pt;z-index:251659264;mso-width-relative:page;mso-height-relative:page;" filled="f" stroked="f" coordsize="21600,21600" o:gfxdata="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FgAAAGRycy9QSwECFAAUAAAACACHTuJA&#10;CpiZF9YAAAAJAQAADwAAAAAAAAABACAAAAA4AAAAZHJzL2Rvd25yZXYueG1sUEsBAhQAFAAAAAgA&#10;h07iQDwekYbYAQAAhQMAAA4AAAAAAAAAAQAgAAAAOwEAAGRycy9lMm9Eb2MueG1sUEsFBgAAAAAG&#10;AAYAWQEAAIUFAAAAAA==&#10;">
                <v:fill on="f" focussize="0,0"/>
                <v:stroke on="f" weight="1.5pt"/>
                <v:imagedata o:title=""/>
                <o:lock v:ext="edit" aspectratio="f"/>
              </v:line>
            </w:pict>
          </mc:Fallback>
        </mc:AlternateContent>
      </w:r>
    </w:p>
    <w:p>
      <w:pPr>
        <w:rPr>
          <w:rFonts w:hint="default" w:ascii="Times New Roman" w:hAnsi="Times New Roman" w:eastAsia="仿宋" w:cs="Times New Roman"/>
          <w:spacing w:val="0"/>
          <w:sz w:val="32"/>
          <w:szCs w:val="32"/>
        </w:rPr>
      </w:pPr>
    </w:p>
    <w:p>
      <w:pPr>
        <w:rPr>
          <w:rFonts w:hint="default" w:ascii="Times New Roman" w:hAnsi="Times New Roman" w:eastAsia="仿宋" w:cs="Times New Roman"/>
          <w:spacing w:val="0"/>
          <w:sz w:val="32"/>
          <w:szCs w:val="32"/>
        </w:rPr>
      </w:pPr>
    </w:p>
    <w:p>
      <w:pPr>
        <w:rPr>
          <w:rFonts w:hint="default" w:ascii="Times New Roman" w:hAnsi="Times New Roman" w:eastAsia="仿宋" w:cs="Times New Roman"/>
          <w:spacing w:val="0"/>
          <w:sz w:val="32"/>
          <w:szCs w:val="32"/>
        </w:rPr>
      </w:pPr>
      <w:r>
        <w:rPr>
          <w:rFonts w:hint="default" w:ascii="Times New Roman" w:hAnsi="Times New Roman" w:cs="Times New Roman"/>
          <w:spacing w:val="0"/>
        </w:rPr>
        <mc:AlternateContent>
          <mc:Choice Requires="wps">
            <w:drawing>
              <wp:anchor distT="0" distB="0" distL="114300" distR="114300" simplePos="0" relativeHeight="251661312" behindDoc="0" locked="0" layoutInCell="1" allowOverlap="1">
                <wp:simplePos x="0" y="0"/>
                <wp:positionH relativeFrom="column">
                  <wp:posOffset>4518660</wp:posOffset>
                </wp:positionH>
                <wp:positionV relativeFrom="paragraph">
                  <wp:posOffset>73660</wp:posOffset>
                </wp:positionV>
                <wp:extent cx="1054100" cy="1087120"/>
                <wp:effectExtent l="0" t="0" r="12700" b="17780"/>
                <wp:wrapNone/>
                <wp:docPr id="13" name="文本框 13"/>
                <wp:cNvGraphicFramePr/>
                <a:graphic xmlns:a="http://schemas.openxmlformats.org/drawingml/2006/main">
                  <a:graphicData uri="http://schemas.microsoft.com/office/word/2010/wordprocessingShape">
                    <wps:wsp>
                      <wps:cNvSpPr txBox="true"/>
                      <wps:spPr>
                        <a:xfrm>
                          <a:off x="0" y="0"/>
                          <a:ext cx="1054100" cy="1087120"/>
                        </a:xfrm>
                        <a:prstGeom prst="rect">
                          <a:avLst/>
                        </a:prstGeom>
                        <a:solidFill>
                          <a:srgbClr val="FFFFFF"/>
                        </a:solidFill>
                        <a:ln>
                          <a:noFill/>
                        </a:ln>
                        <a:effectLst/>
                      </wps:spPr>
                      <wps:txbx>
                        <w:txbxContent>
                          <w:p>
                            <w:pPr>
                              <w:pStyle w:val="1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ascii="方正小标宋简体" w:eastAsia="方正小标宋简体" w:cs="Times New Roman"/>
                                <w:color w:val="FF0000"/>
                                <w:w w:val="75"/>
                                <w:sz w:val="106"/>
                                <w:szCs w:val="106"/>
                                <w:vertAlign w:val="baseline"/>
                              </w:rPr>
                            </w:pPr>
                          </w:p>
                        </w:txbxContent>
                      </wps:txbx>
                      <wps:bodyPr lIns="0" tIns="0" rIns="0" bIns="0" upright="true"/>
                    </wps:wsp>
                  </a:graphicData>
                </a:graphic>
              </wp:anchor>
            </w:drawing>
          </mc:Choice>
          <mc:Fallback>
            <w:pict>
              <v:shape id="_x0000_s1026" o:spid="_x0000_s1026" o:spt="202" type="#_x0000_t202" style="position:absolute;left:0pt;margin-left:355.8pt;margin-top:5.8pt;height:85.6pt;width:83pt;z-index:251661312;mso-width-relative:page;mso-height-relative:page;" fillcolor="#FFFFFF" filled="t" stroked="f" coordsize="21600,21600" o:gfxdata="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WAAAAZHJzL1BLAQIUABQAAAAIAIdO4kAy0DjE1wAAAAoBAAAPAAAAAAAAAAEAIAAA&#10;ADgAAABkcnMvZG93bnJldi54bWxQSwECFAAUAAAACACHTuJA82/2zr4BAABkAwAADgAAAAAAAAAB&#10;ACAAAAA8AQAAZHJzL2Uyb0RvYy54bWxQSwUGAAAAAAYABgBZAQAAbAUAAAAA&#10;">
                <v:fill on="t" focussize="0,0"/>
                <v:stroke on="f"/>
                <v:imagedata o:title=""/>
                <o:lock v:ext="edit" aspectratio="f"/>
                <v:textbox inset="0mm,0mm,0mm,0mm">
                  <w:txbxContent>
                    <w:p>
                      <w:pPr>
                        <w:pStyle w:val="1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ascii="方正小标宋简体" w:eastAsia="方正小标宋简体" w:cs="Times New Roman"/>
                          <w:color w:val="FF0000"/>
                          <w:w w:val="75"/>
                          <w:sz w:val="106"/>
                          <w:szCs w:val="106"/>
                          <w:vertAlign w:val="baseline"/>
                        </w:rPr>
                      </w:pPr>
                    </w:p>
                  </w:txbxContent>
                </v:textbox>
              </v:shape>
            </w:pict>
          </mc:Fallback>
        </mc:AlternateContent>
      </w:r>
    </w:p>
    <w:p>
      <w:pPr>
        <w:rPr>
          <w:rFonts w:hint="default" w:ascii="Times New Roman" w:hAnsi="Times New Roman" w:eastAsia="仿宋" w:cs="Times New Roman"/>
          <w:spacing w:val="0"/>
          <w:sz w:val="32"/>
          <w:szCs w:val="32"/>
        </w:rPr>
      </w:pPr>
      <w:bookmarkStart w:id="0" w:name="_GoBack"/>
      <w:bookmarkEnd w:id="0"/>
    </w:p>
    <w:p>
      <w:pPr>
        <w:rPr>
          <w:rFonts w:hint="default" w:ascii="Times New Roman" w:hAnsi="Times New Roman" w:eastAsia="仿宋" w:cs="Times New Roman"/>
          <w:spacing w:val="0"/>
          <w:sz w:val="32"/>
          <w:szCs w:val="32"/>
        </w:rPr>
      </w:pPr>
    </w:p>
    <w:p>
      <w:pPr>
        <w:spacing w:line="100" w:lineRule="exact"/>
        <w:rPr>
          <w:rFonts w:hint="default" w:ascii="Times New Roman" w:hAnsi="Times New Roman" w:eastAsia="仿宋" w:cs="Times New Roman"/>
          <w:spacing w:val="0"/>
          <w:sz w:val="32"/>
          <w:szCs w:val="32"/>
        </w:rPr>
      </w:pPr>
    </w:p>
    <w:p>
      <w:pPr>
        <w:spacing w:line="100" w:lineRule="exact"/>
        <w:rPr>
          <w:rFonts w:hint="default" w:ascii="Times New Roman" w:hAnsi="Times New Roman" w:eastAsia="仿宋" w:cs="Times New Roman"/>
          <w:spacing w:val="0"/>
          <w:sz w:val="32"/>
          <w:szCs w:val="32"/>
        </w:rPr>
      </w:pPr>
    </w:p>
    <w:p>
      <w:pPr>
        <w:spacing w:line="100" w:lineRule="exact"/>
        <w:rPr>
          <w:rFonts w:hint="default" w:ascii="Times New Roman" w:hAnsi="Times New Roman" w:eastAsia="仿宋" w:cs="Times New Roman"/>
          <w:spacing w:val="0"/>
          <w:sz w:val="32"/>
          <w:szCs w:val="32"/>
        </w:rPr>
      </w:pPr>
    </w:p>
    <w:p>
      <w:pPr>
        <w:pStyle w:val="2"/>
        <w:rPr>
          <w:rFonts w:hint="default" w:ascii="Times New Roman" w:hAnsi="Times New Roman" w:cs="Times New Roman"/>
        </w:rPr>
      </w:pPr>
    </w:p>
    <w:p>
      <w:pPr>
        <w:ind w:left="0" w:leftChars="0" w:firstLine="0" w:firstLineChars="0"/>
        <w:jc w:val="center"/>
        <w:rPr>
          <w:rFonts w:hint="default" w:ascii="Times New Roman" w:hAnsi="Times New Roman" w:eastAsia="仿宋_GB2312" w:cs="Times New Roman"/>
          <w:spacing w:val="0"/>
          <w:sz w:val="32"/>
          <w:szCs w:val="32"/>
          <w:lang w:val="en-US" w:eastAsia="zh-CN"/>
        </w:rPr>
      </w:pPr>
      <w:r>
        <w:rPr>
          <w:rFonts w:hint="default" w:ascii="Times New Roman" w:hAnsi="Times New Roman" w:eastAsia="仿宋_GB2312" w:cs="Times New Roman"/>
          <w:spacing w:val="0"/>
          <w:sz w:val="32"/>
          <w:szCs w:val="32"/>
        </w:rPr>
        <w:t>长文旅广电联〔</w:t>
      </w:r>
      <w:r>
        <w:rPr>
          <w:rFonts w:hint="default" w:ascii="Times New Roman" w:hAnsi="Times New Roman" w:cs="Times New Roman"/>
          <w:spacing w:val="0"/>
          <w:sz w:val="32"/>
          <w:szCs w:val="32"/>
        </w:rPr>
        <w:t>202</w:t>
      </w:r>
      <w:r>
        <w:rPr>
          <w:rFonts w:hint="default" w:ascii="Times New Roman" w:hAnsi="Times New Roman" w:eastAsia="宋体" w:cs="Times New Roman"/>
          <w:spacing w:val="0"/>
          <w:sz w:val="32"/>
          <w:szCs w:val="32"/>
          <w:lang w:val="en-US" w:eastAsia="zh-CN"/>
        </w:rPr>
        <w:t>6</w:t>
      </w:r>
      <w:r>
        <w:rPr>
          <w:rFonts w:hint="default" w:ascii="Times New Roman" w:hAnsi="Times New Roman" w:eastAsia="仿宋_GB2312" w:cs="Times New Roman"/>
          <w:spacing w:val="0"/>
          <w:sz w:val="32"/>
          <w:szCs w:val="32"/>
        </w:rPr>
        <w:t>〕</w:t>
      </w:r>
      <w:r>
        <w:rPr>
          <w:rFonts w:hint="eastAsia" w:ascii="Times New Roman" w:hAnsi="Times New Roman" w:eastAsia="仿宋_GB2312" w:cs="Times New Roman"/>
          <w:spacing w:val="0"/>
          <w:sz w:val="32"/>
          <w:szCs w:val="32"/>
          <w:lang w:val="en-US" w:eastAsia="zh-CN"/>
        </w:rPr>
        <w:t>6</w:t>
      </w:r>
      <w:r>
        <w:rPr>
          <w:rFonts w:hint="default" w:ascii="Times New Roman" w:hAnsi="Times New Roman" w:eastAsia="仿宋_GB2312" w:cs="Times New Roman"/>
          <w:spacing w:val="0"/>
          <w:sz w:val="32"/>
          <w:szCs w:val="32"/>
        </w:rPr>
        <w:t>号</w:t>
      </w:r>
    </w:p>
    <w:p>
      <w:pPr>
        <w:pStyle w:val="4"/>
        <w:rPr>
          <w:rFonts w:hint="default" w:ascii="Times New Roman" w:hAnsi="Times New Roman" w:cs="Times New Roman"/>
          <w:lang w:val="en-US" w:eastAsia="zh-CN"/>
        </w:rPr>
      </w:pPr>
    </w:p>
    <w:p>
      <w:pPr>
        <w:keepNext w:val="0"/>
        <w:keepLines w:val="0"/>
        <w:pageBreakBefore w:val="0"/>
        <w:widowControl w:val="0"/>
        <w:kinsoku/>
        <w:wordWrap/>
        <w:overflowPunct w:val="0"/>
        <w:topLinePunct w:val="0"/>
        <w:autoSpaceDE/>
        <w:autoSpaceDN/>
        <w:bidi w:val="0"/>
        <w:adjustRightInd w:val="0"/>
        <w:snapToGrid w:val="0"/>
        <w:spacing w:before="0" w:after="0" w:line="600" w:lineRule="exact"/>
        <w:ind w:firstLine="0" w:firstLineChars="0"/>
        <w:jc w:val="center"/>
        <w:textAlignment w:val="auto"/>
        <w:rPr>
          <w:rFonts w:hint="default" w:ascii="Times New Roman" w:hAnsi="Times New Roman" w:eastAsia="方正小标宋简体" w:cs="Times New Roman"/>
          <w:b w:val="0"/>
          <w:bCs w:val="0"/>
          <w:color w:val="000000"/>
          <w:spacing w:val="0"/>
          <w:sz w:val="44"/>
          <w:szCs w:val="44"/>
          <w:lang w:val="en-US" w:eastAsia="zh-CN"/>
        </w:rPr>
      </w:pPr>
    </w:p>
    <w:p>
      <w:pPr>
        <w:keepNext w:val="0"/>
        <w:keepLines w:val="0"/>
        <w:pageBreakBefore w:val="0"/>
        <w:widowControl w:val="0"/>
        <w:kinsoku/>
        <w:wordWrap/>
        <w:overflowPunct w:val="0"/>
        <w:topLinePunct w:val="0"/>
        <w:autoSpaceDE/>
        <w:autoSpaceDN/>
        <w:bidi w:val="0"/>
        <w:adjustRightInd w:val="0"/>
        <w:snapToGrid w:val="0"/>
        <w:spacing w:before="0" w:after="0" w:line="600" w:lineRule="exact"/>
        <w:ind w:firstLine="0" w:firstLineChars="0"/>
        <w:jc w:val="center"/>
        <w:textAlignment w:val="auto"/>
        <w:rPr>
          <w:rFonts w:hint="default" w:ascii="Times New Roman" w:hAnsi="Times New Roman" w:eastAsia="方正小标宋简体" w:cs="Times New Roman"/>
          <w:b w:val="0"/>
          <w:bCs w:val="0"/>
          <w:color w:val="000000"/>
          <w:spacing w:val="0"/>
          <w:sz w:val="44"/>
          <w:szCs w:val="44"/>
          <w:lang w:val="en-US" w:eastAsia="zh-CN"/>
        </w:rPr>
      </w:pPr>
      <w:r>
        <w:rPr>
          <w:rFonts w:hint="default" w:ascii="Times New Roman" w:hAnsi="Times New Roman" w:eastAsia="方正小标宋简体" w:cs="Times New Roman"/>
          <w:b w:val="0"/>
          <w:bCs w:val="0"/>
          <w:color w:val="000000"/>
          <w:spacing w:val="0"/>
          <w:sz w:val="44"/>
          <w:szCs w:val="44"/>
          <w:lang w:val="en-US" w:eastAsia="zh-CN"/>
        </w:rPr>
        <w:t>关于印发《〈关于支持长沙市演艺新空间</w:t>
      </w:r>
    </w:p>
    <w:p>
      <w:pPr>
        <w:keepNext w:val="0"/>
        <w:keepLines w:val="0"/>
        <w:pageBreakBefore w:val="0"/>
        <w:widowControl w:val="0"/>
        <w:kinsoku/>
        <w:wordWrap/>
        <w:overflowPunct w:val="0"/>
        <w:topLinePunct w:val="0"/>
        <w:autoSpaceDE/>
        <w:autoSpaceDN/>
        <w:bidi w:val="0"/>
        <w:adjustRightInd w:val="0"/>
        <w:snapToGrid w:val="0"/>
        <w:spacing w:before="0" w:after="0" w:line="600" w:lineRule="exact"/>
        <w:ind w:firstLine="0" w:firstLineChars="0"/>
        <w:jc w:val="center"/>
        <w:textAlignment w:val="auto"/>
        <w:rPr>
          <w:rFonts w:hint="default" w:ascii="Times New Roman" w:hAnsi="Times New Roman" w:eastAsia="方正小标宋简体" w:cs="Times New Roman"/>
          <w:b w:val="0"/>
          <w:bCs w:val="0"/>
          <w:color w:val="000000"/>
          <w:spacing w:val="0"/>
          <w:sz w:val="44"/>
          <w:szCs w:val="44"/>
          <w:lang w:val="en-US" w:eastAsia="zh-CN"/>
        </w:rPr>
      </w:pPr>
      <w:r>
        <w:rPr>
          <w:rFonts w:hint="default" w:ascii="Times New Roman" w:hAnsi="Times New Roman" w:eastAsia="方正小标宋简体" w:cs="Times New Roman"/>
          <w:b w:val="0"/>
          <w:bCs w:val="0"/>
          <w:color w:val="000000"/>
          <w:spacing w:val="0"/>
          <w:sz w:val="44"/>
          <w:szCs w:val="44"/>
          <w:lang w:val="en-US" w:eastAsia="zh-CN"/>
        </w:rPr>
        <w:t>（小剧场）高质量发展的若干措施〉实施细则》的通知</w:t>
      </w:r>
    </w:p>
    <w:p>
      <w:pPr>
        <w:pStyle w:val="13"/>
        <w:keepNext w:val="0"/>
        <w:keepLines w:val="0"/>
        <w:pageBreakBefore w:val="0"/>
        <w:widowControl w:val="0"/>
        <w:kinsoku/>
        <w:wordWrap/>
        <w:overflowPunct w:val="0"/>
        <w:topLinePunct w:val="0"/>
        <w:autoSpaceDE/>
        <w:autoSpaceDN/>
        <w:bidi w:val="0"/>
        <w:adjustRightInd/>
        <w:snapToGrid/>
        <w:spacing w:before="0" w:after="0" w:line="600" w:lineRule="exact"/>
        <w:ind w:left="0" w:leftChars="0" w:right="0" w:rightChars="0" w:firstLine="0" w:firstLineChars="0"/>
        <w:jc w:val="both"/>
        <w:textAlignment w:val="auto"/>
        <w:rPr>
          <w:rFonts w:hint="default" w:ascii="Times New Roman" w:hAnsi="Times New Roman" w:eastAsia="仿宋_GB2312" w:cs="Times New Roman"/>
          <w:color w:val="auto"/>
          <w:spacing w:val="0"/>
          <w:kern w:val="2"/>
          <w:sz w:val="32"/>
          <w:szCs w:val="32"/>
          <w:lang w:val="en-US" w:eastAsia="zh-CN" w:bidi="ar-SA"/>
        </w:rPr>
      </w:pPr>
    </w:p>
    <w:p>
      <w:pPr>
        <w:pStyle w:val="13"/>
        <w:keepNext w:val="0"/>
        <w:keepLines w:val="0"/>
        <w:pageBreakBefore w:val="0"/>
        <w:widowControl w:val="0"/>
        <w:kinsoku/>
        <w:wordWrap/>
        <w:overflowPunct w:val="0"/>
        <w:topLinePunct w:val="0"/>
        <w:autoSpaceDE/>
        <w:autoSpaceDN/>
        <w:bidi w:val="0"/>
        <w:adjustRightInd/>
        <w:snapToGrid/>
        <w:spacing w:before="0" w:after="0" w:line="600" w:lineRule="exact"/>
        <w:ind w:left="0" w:leftChars="0" w:right="0" w:rightChars="0" w:firstLine="0" w:firstLineChars="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湘江新区宣传工作部，各区县（市）财政局、文旅（广）体局、各有关单位：</w:t>
      </w:r>
    </w:p>
    <w:p>
      <w:pPr>
        <w:pStyle w:val="13"/>
        <w:keepNext w:val="0"/>
        <w:keepLines w:val="0"/>
        <w:pageBreakBefore w:val="0"/>
        <w:widowControl w:val="0"/>
        <w:kinsoku/>
        <w:wordWrap/>
        <w:overflowPunct w:val="0"/>
        <w:topLinePunct w:val="0"/>
        <w:autoSpaceDE/>
        <w:autoSpaceDN/>
        <w:bidi w:val="0"/>
        <w:adjustRightInd/>
        <w:snapToGrid/>
        <w:spacing w:before="0" w:after="0" w:line="600" w:lineRule="exact"/>
        <w:ind w:left="0" w:leftChars="0" w:right="0" w:rightChars="0"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kern w:val="2"/>
          <w:sz w:val="32"/>
          <w:szCs w:val="32"/>
          <w:lang w:val="en-US" w:eastAsia="zh-CN" w:bidi="ar-SA"/>
        </w:rPr>
        <w:t>现将《〈关于支持长沙市演艺新空间（小剧场）高质量发展的若干措施〉实施细则》印发你们，请认真遵照执行。</w:t>
      </w:r>
    </w:p>
    <w:p>
      <w:pPr>
        <w:pStyle w:val="8"/>
        <w:rPr>
          <w:rFonts w:hint="default" w:ascii="Times New Roman" w:hAnsi="Times New Roman" w:eastAsia="楷体_GB2312" w:cs="Times New Roman"/>
          <w:b/>
          <w:bCs/>
          <w:color w:val="auto"/>
          <w:sz w:val="32"/>
          <w:szCs w:val="32"/>
          <w:lang w:val="en-US" w:eastAsia="zh-CN"/>
        </w:rPr>
      </w:pPr>
    </w:p>
    <w:p>
      <w:pPr>
        <w:rPr>
          <w:rFonts w:hint="default" w:ascii="Times New Roman" w:hAnsi="Times New Roman" w:cs="Times New Roman"/>
          <w:lang w:val="en-US" w:eastAsia="zh-CN"/>
        </w:rPr>
      </w:pPr>
    </w:p>
    <w:p>
      <w:pPr>
        <w:pStyle w:val="13"/>
        <w:keepNext w:val="0"/>
        <w:keepLines w:val="0"/>
        <w:pageBreakBefore w:val="0"/>
        <w:widowControl w:val="0"/>
        <w:kinsoku/>
        <w:wordWrap/>
        <w:overflowPunct w:val="0"/>
        <w:topLinePunct w:val="0"/>
        <w:autoSpaceDE/>
        <w:autoSpaceDN/>
        <w:bidi w:val="0"/>
        <w:adjustRightInd/>
        <w:snapToGrid/>
        <w:spacing w:before="0" w:after="0" w:line="600" w:lineRule="exact"/>
        <w:ind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　长沙市文化旅游广电局　　　　长沙市财政局　　　　　　</w:t>
      </w:r>
    </w:p>
    <w:p>
      <w:pPr>
        <w:pStyle w:val="13"/>
        <w:keepNext w:val="0"/>
        <w:keepLines w:val="0"/>
        <w:pageBreakBefore w:val="0"/>
        <w:widowControl w:val="0"/>
        <w:kinsoku/>
        <w:wordWrap/>
        <w:overflowPunct w:val="0"/>
        <w:topLinePunct w:val="0"/>
        <w:autoSpaceDE/>
        <w:autoSpaceDN/>
        <w:bidi w:val="0"/>
        <w:adjustRightInd/>
        <w:snapToGrid/>
        <w:spacing w:before="0" w:after="0" w:line="600" w:lineRule="exact"/>
        <w:ind w:left="0" w:leftChars="0"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　　　　　　　　　　　  　　2026年3月</w:t>
      </w:r>
      <w:r>
        <w:rPr>
          <w:rFonts w:hint="eastAsia" w:ascii="Times New Roman" w:hAnsi="Times New Roman" w:eastAsia="仿宋_GB2312" w:cs="Times New Roman"/>
          <w:color w:val="auto"/>
          <w:spacing w:val="0"/>
          <w:kern w:val="2"/>
          <w:sz w:val="32"/>
          <w:szCs w:val="32"/>
          <w:lang w:val="en-US" w:eastAsia="zh-CN" w:bidi="ar-SA"/>
        </w:rPr>
        <w:t>31</w:t>
      </w:r>
      <w:r>
        <w:rPr>
          <w:rFonts w:hint="default" w:ascii="Times New Roman" w:hAnsi="Times New Roman" w:eastAsia="仿宋_GB2312" w:cs="Times New Roman"/>
          <w:color w:val="auto"/>
          <w:spacing w:val="0"/>
          <w:kern w:val="2"/>
          <w:sz w:val="32"/>
          <w:szCs w:val="32"/>
          <w:lang w:val="en-US" w:eastAsia="zh-CN" w:bidi="ar-SA"/>
        </w:rPr>
        <w:t>日</w:t>
      </w:r>
    </w:p>
    <w:p>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br w:type="page"/>
      </w:r>
    </w:p>
    <w:p>
      <w:pPr>
        <w:keepNext w:val="0"/>
        <w:keepLines w:val="0"/>
        <w:pageBreakBefore w:val="0"/>
        <w:widowControl w:val="0"/>
        <w:kinsoku/>
        <w:wordWrap/>
        <w:overflowPunct w:val="0"/>
        <w:topLinePunct w:val="0"/>
        <w:autoSpaceDE/>
        <w:autoSpaceDN/>
        <w:bidi w:val="0"/>
        <w:adjustRightInd/>
        <w:snapToGrid/>
        <w:spacing w:line="600" w:lineRule="exact"/>
        <w:ind w:firstLine="0" w:firstLineChars="0"/>
        <w:textAlignment w:val="auto"/>
        <w:rPr>
          <w:rFonts w:hint="default" w:ascii="Times New Roman" w:hAnsi="Times New Roman" w:cs="Times New Roman"/>
          <w:color w:val="auto"/>
          <w:lang w:val="en-US" w:eastAsia="zh-CN"/>
        </w:rPr>
      </w:pPr>
    </w:p>
    <w:p>
      <w:pPr>
        <w:pStyle w:val="13"/>
        <w:keepNext w:val="0"/>
        <w:keepLines w:val="0"/>
        <w:pageBreakBefore w:val="0"/>
        <w:widowControl w:val="0"/>
        <w:kinsoku/>
        <w:wordWrap/>
        <w:overflowPunct w:val="0"/>
        <w:topLinePunct w:val="0"/>
        <w:autoSpaceDE/>
        <w:autoSpaceDN/>
        <w:bidi w:val="0"/>
        <w:adjustRightInd/>
        <w:snapToGrid/>
        <w:spacing w:before="0" w:after="0" w:line="600" w:lineRule="exact"/>
        <w:ind w:left="0" w:leftChars="0" w:right="0" w:rightChars="0" w:firstLine="0" w:firstLineChars="0"/>
        <w:jc w:val="center"/>
        <w:textAlignment w:val="auto"/>
        <w:rPr>
          <w:rFonts w:hint="default" w:ascii="Times New Roman" w:hAnsi="Times New Roman" w:eastAsia="方正小标宋简体" w:cs="Times New Roman"/>
          <w:color w:val="auto"/>
          <w:spacing w:val="0"/>
          <w:kern w:val="2"/>
          <w:sz w:val="44"/>
          <w:szCs w:val="44"/>
          <w:lang w:val="en-US" w:eastAsia="zh-CN" w:bidi="ar-SA"/>
        </w:rPr>
      </w:pPr>
      <w:r>
        <w:rPr>
          <w:rFonts w:hint="default" w:ascii="Times New Roman" w:hAnsi="Times New Roman" w:eastAsia="方正小标宋简体" w:cs="Times New Roman"/>
          <w:color w:val="auto"/>
          <w:spacing w:val="0"/>
          <w:kern w:val="2"/>
          <w:sz w:val="44"/>
          <w:szCs w:val="44"/>
          <w:lang w:val="en-US" w:eastAsia="zh-CN" w:bidi="ar-SA"/>
        </w:rPr>
        <w:t>《关于支持长沙市演艺新空间（小剧场）</w:t>
      </w:r>
    </w:p>
    <w:p>
      <w:pPr>
        <w:pStyle w:val="13"/>
        <w:keepNext w:val="0"/>
        <w:keepLines w:val="0"/>
        <w:pageBreakBefore w:val="0"/>
        <w:widowControl w:val="0"/>
        <w:kinsoku/>
        <w:wordWrap/>
        <w:overflowPunct w:val="0"/>
        <w:topLinePunct w:val="0"/>
        <w:autoSpaceDE/>
        <w:autoSpaceDN/>
        <w:bidi w:val="0"/>
        <w:adjustRightInd/>
        <w:snapToGrid/>
        <w:spacing w:before="0" w:after="0" w:line="600" w:lineRule="exact"/>
        <w:ind w:left="0" w:leftChars="0" w:right="0" w:rightChars="0" w:firstLine="0" w:firstLineChars="0"/>
        <w:jc w:val="center"/>
        <w:textAlignment w:val="auto"/>
        <w:rPr>
          <w:rFonts w:hint="default" w:ascii="Times New Roman" w:hAnsi="Times New Roman" w:eastAsia="方正小标宋简体" w:cs="Times New Roman"/>
          <w:color w:val="auto"/>
          <w:spacing w:val="0"/>
          <w:kern w:val="2"/>
          <w:sz w:val="44"/>
          <w:szCs w:val="44"/>
          <w:lang w:val="en-US" w:eastAsia="zh-CN" w:bidi="ar-SA"/>
        </w:rPr>
      </w:pPr>
      <w:r>
        <w:rPr>
          <w:rFonts w:hint="default" w:ascii="Times New Roman" w:hAnsi="Times New Roman" w:eastAsia="方正小标宋简体" w:cs="Times New Roman"/>
          <w:color w:val="auto"/>
          <w:spacing w:val="0"/>
          <w:kern w:val="2"/>
          <w:sz w:val="44"/>
          <w:szCs w:val="44"/>
          <w:lang w:val="en-US" w:eastAsia="zh-CN" w:bidi="ar-SA"/>
        </w:rPr>
        <w:t>高质量发展的若干措施》实施细则</w:t>
      </w:r>
    </w:p>
    <w:p>
      <w:pPr>
        <w:pStyle w:val="13"/>
        <w:keepNext w:val="0"/>
        <w:keepLines w:val="0"/>
        <w:pageBreakBefore w:val="0"/>
        <w:widowControl w:val="0"/>
        <w:kinsoku/>
        <w:wordWrap/>
        <w:overflowPunct w:val="0"/>
        <w:topLinePunct w:val="0"/>
        <w:autoSpaceDE/>
        <w:autoSpaceDN/>
        <w:bidi w:val="0"/>
        <w:adjustRightInd/>
        <w:snapToGrid/>
        <w:spacing w:before="0" w:after="0" w:line="600" w:lineRule="exact"/>
        <w:ind w:left="0" w:leftChars="0" w:right="0" w:rightChars="0" w:firstLine="0" w:firstLineChars="0"/>
        <w:jc w:val="both"/>
        <w:textAlignment w:val="auto"/>
        <w:rPr>
          <w:rFonts w:hint="default" w:ascii="Times New Roman" w:hAnsi="Times New Roman" w:eastAsia="仿宋_GB2312" w:cs="Times New Roman"/>
          <w:color w:val="auto"/>
          <w:spacing w:val="0"/>
          <w:kern w:val="2"/>
          <w:sz w:val="32"/>
          <w:szCs w:val="32"/>
          <w:lang w:val="en-US" w:eastAsia="zh-CN" w:bidi="ar-SA"/>
        </w:rPr>
      </w:pPr>
    </w:p>
    <w:p>
      <w:pPr>
        <w:pStyle w:val="13"/>
        <w:keepNext w:val="0"/>
        <w:keepLines w:val="0"/>
        <w:pageBreakBefore w:val="0"/>
        <w:widowControl w:val="0"/>
        <w:kinsoku/>
        <w:wordWrap/>
        <w:overflowPunct w:val="0"/>
        <w:topLinePunct w:val="0"/>
        <w:autoSpaceDE/>
        <w:autoSpaceDN/>
        <w:bidi w:val="0"/>
        <w:adjustRightInd/>
        <w:snapToGrid/>
        <w:spacing w:before="0" w:after="0" w:line="600" w:lineRule="exact"/>
        <w:ind w:left="0" w:leftChars="0"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为落实好长沙市人民政府、湖南省文化和旅游厅《印发〈关于支持长沙市演艺新空间（小剧场）高质量发展的若干措施〉的通知》（长政发〔2025〕12号）文件精神，规范资金奖补标准和申报审批流程，结合实际制定本实施细则。</w:t>
      </w:r>
    </w:p>
    <w:p>
      <w:pPr>
        <w:pStyle w:val="13"/>
        <w:keepNext w:val="0"/>
        <w:keepLines w:val="0"/>
        <w:pageBreakBefore w:val="0"/>
        <w:widowControl w:val="0"/>
        <w:numPr>
          <w:ilvl w:val="0"/>
          <w:numId w:val="0"/>
        </w:numPr>
        <w:kinsoku/>
        <w:wordWrap/>
        <w:overflowPunct w:val="0"/>
        <w:topLinePunct w:val="0"/>
        <w:autoSpaceDE/>
        <w:autoSpaceDN/>
        <w:bidi w:val="0"/>
        <w:adjustRightInd/>
        <w:snapToGrid/>
        <w:spacing w:before="0" w:after="0" w:line="600" w:lineRule="exact"/>
        <w:ind w:left="0" w:right="0" w:rightChars="0" w:firstLine="640" w:firstLineChars="200"/>
        <w:jc w:val="both"/>
        <w:textAlignment w:val="auto"/>
        <w:rPr>
          <w:rFonts w:hint="default" w:ascii="Times New Roman" w:hAnsi="Times New Roman" w:eastAsia="黑体" w:cs="Times New Roman"/>
          <w:color w:val="auto"/>
          <w:kern w:val="2"/>
          <w:sz w:val="32"/>
          <w:szCs w:val="32"/>
          <w:lang w:val="en-US" w:eastAsia="zh-CN" w:bidi="ar-SA"/>
        </w:rPr>
      </w:pPr>
      <w:r>
        <w:rPr>
          <w:rFonts w:hint="default" w:ascii="Times New Roman" w:hAnsi="Times New Roman" w:eastAsia="黑体" w:cs="Times New Roman"/>
          <w:color w:val="auto"/>
          <w:kern w:val="2"/>
          <w:sz w:val="32"/>
          <w:szCs w:val="32"/>
          <w:lang w:val="en-US" w:eastAsia="zh-CN" w:bidi="ar-SA"/>
        </w:rPr>
        <w:t>一、奖补范围</w:t>
      </w:r>
    </w:p>
    <w:p>
      <w:pPr>
        <w:pStyle w:val="13"/>
        <w:keepNext w:val="0"/>
        <w:keepLines w:val="0"/>
        <w:pageBreakBefore w:val="0"/>
        <w:widowControl w:val="0"/>
        <w:numPr>
          <w:ilvl w:val="0"/>
          <w:numId w:val="0"/>
        </w:numPr>
        <w:kinsoku/>
        <w:wordWrap/>
        <w:overflowPunct w:val="0"/>
        <w:topLinePunct w:val="0"/>
        <w:autoSpaceDE/>
        <w:autoSpaceDN/>
        <w:bidi w:val="0"/>
        <w:adjustRightInd/>
        <w:snapToGrid/>
        <w:spacing w:before="0" w:after="0" w:line="600" w:lineRule="exact"/>
        <w:ind w:left="0"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本实施细则的奖补范围包括在长沙从事与演艺新空间（小剧场）（以下简称演艺新空间）相关的物业方、投资方、运营方、出品方、平台方等。</w:t>
      </w:r>
    </w:p>
    <w:p>
      <w:pPr>
        <w:pStyle w:val="13"/>
        <w:keepNext w:val="0"/>
        <w:keepLines w:val="0"/>
        <w:pageBreakBefore w:val="0"/>
        <w:widowControl w:val="0"/>
        <w:numPr>
          <w:ilvl w:val="0"/>
          <w:numId w:val="0"/>
        </w:numPr>
        <w:kinsoku/>
        <w:wordWrap/>
        <w:overflowPunct w:val="0"/>
        <w:topLinePunct w:val="0"/>
        <w:autoSpaceDE/>
        <w:autoSpaceDN/>
        <w:bidi w:val="0"/>
        <w:adjustRightInd/>
        <w:snapToGrid/>
        <w:spacing w:before="0" w:after="0" w:line="600" w:lineRule="exact"/>
        <w:ind w:left="0"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演艺新空间指</w:t>
      </w:r>
      <w:r>
        <w:rPr>
          <w:rFonts w:hint="default" w:ascii="Times New Roman" w:hAnsi="Times New Roman" w:eastAsia="仿宋_GB2312" w:cs="Times New Roman"/>
          <w:color w:val="auto"/>
          <w:sz w:val="32"/>
          <w:szCs w:val="32"/>
        </w:rPr>
        <w:t>以“演艺”“演艺+”“+演艺”等为主要特征，具备舞台艺术现场表演空间，并能开展营业性演出的多业态融合、多功能协同的各类演出场所。</w:t>
      </w:r>
      <w:r>
        <w:rPr>
          <w:rFonts w:hint="default" w:ascii="Times New Roman" w:hAnsi="Times New Roman" w:eastAsia="仿宋_GB2312" w:cs="Times New Roman"/>
          <w:color w:val="auto"/>
          <w:sz w:val="32"/>
          <w:szCs w:val="32"/>
          <w:lang w:eastAsia="zh-CN"/>
        </w:rPr>
        <w:t>其中，</w:t>
      </w:r>
      <w:r>
        <w:rPr>
          <w:rFonts w:hint="default" w:ascii="Times New Roman" w:hAnsi="Times New Roman" w:eastAsia="仿宋_GB2312" w:cs="Times New Roman"/>
          <w:color w:val="auto"/>
          <w:spacing w:val="0"/>
          <w:kern w:val="2"/>
          <w:sz w:val="32"/>
          <w:szCs w:val="32"/>
          <w:lang w:val="en-US" w:eastAsia="zh-CN" w:bidi="ar-SA"/>
        </w:rPr>
        <w:t>“演艺”指对外独立售票或组合售票、由有演出资质的单位组织的营业性演出活动。</w:t>
      </w:r>
      <w:r>
        <w:rPr>
          <w:rFonts w:hint="default" w:ascii="Times New Roman" w:hAnsi="Times New Roman" w:eastAsia="仿宋_GB2312" w:cs="Times New Roman"/>
          <w:color w:val="auto"/>
          <w:kern w:val="2"/>
          <w:sz w:val="32"/>
          <w:szCs w:val="32"/>
          <w:lang w:val="en-US" w:eastAsia="zh-CN" w:bidi="ar-SA"/>
        </w:rPr>
        <w:t>相关数据统计时间范围为当年</w:t>
      </w:r>
      <w:r>
        <w:rPr>
          <w:rFonts w:hint="eastAsia" w:ascii="Times New Roman" w:hAnsi="Times New Roman" w:eastAsia="仿宋_GB2312" w:cs="Times New Roman"/>
          <w:color w:val="auto"/>
          <w:kern w:val="2"/>
          <w:sz w:val="32"/>
          <w:szCs w:val="32"/>
          <w:lang w:val="en-US" w:eastAsia="zh-CN" w:bidi="ar-SA"/>
        </w:rPr>
        <w:t>1</w:t>
      </w:r>
      <w:r>
        <w:rPr>
          <w:rFonts w:hint="default" w:ascii="Times New Roman" w:hAnsi="Times New Roman" w:eastAsia="仿宋_GB2312" w:cs="Times New Roman"/>
          <w:color w:val="auto"/>
          <w:kern w:val="2"/>
          <w:sz w:val="32"/>
          <w:szCs w:val="32"/>
          <w:lang w:val="en-US" w:eastAsia="zh-CN" w:bidi="ar-SA"/>
        </w:rPr>
        <w:t>月</w:t>
      </w:r>
      <w:r>
        <w:rPr>
          <w:rFonts w:hint="eastAsia" w:ascii="Times New Roman" w:hAnsi="Times New Roman" w:eastAsia="仿宋_GB2312" w:cs="Times New Roman"/>
          <w:color w:val="auto"/>
          <w:kern w:val="2"/>
          <w:sz w:val="32"/>
          <w:szCs w:val="32"/>
          <w:lang w:val="en-US" w:eastAsia="zh-CN" w:bidi="ar-SA"/>
        </w:rPr>
        <w:t>1</w:t>
      </w:r>
      <w:r>
        <w:rPr>
          <w:rFonts w:hint="default" w:ascii="Times New Roman" w:hAnsi="Times New Roman" w:eastAsia="仿宋_GB2312" w:cs="Times New Roman"/>
          <w:color w:val="auto"/>
          <w:kern w:val="2"/>
          <w:sz w:val="32"/>
          <w:szCs w:val="32"/>
          <w:lang w:val="en-US" w:eastAsia="zh-CN" w:bidi="ar-SA"/>
        </w:rPr>
        <w:t>日至12月31日。</w:t>
      </w:r>
    </w:p>
    <w:p>
      <w:pPr>
        <w:pStyle w:val="13"/>
        <w:keepNext w:val="0"/>
        <w:keepLines w:val="0"/>
        <w:pageBreakBefore w:val="0"/>
        <w:widowControl w:val="0"/>
        <w:numPr>
          <w:ilvl w:val="0"/>
          <w:numId w:val="0"/>
        </w:numPr>
        <w:kinsoku/>
        <w:wordWrap/>
        <w:overflowPunct w:val="0"/>
        <w:topLinePunct w:val="0"/>
        <w:autoSpaceDE/>
        <w:autoSpaceDN/>
        <w:bidi w:val="0"/>
        <w:adjustRightInd/>
        <w:snapToGrid/>
        <w:spacing w:before="0" w:after="0" w:line="600" w:lineRule="exact"/>
        <w:ind w:left="0" w:right="0" w:rightChars="0" w:firstLine="640" w:firstLineChars="200"/>
        <w:jc w:val="both"/>
        <w:textAlignment w:val="auto"/>
        <w:rPr>
          <w:rFonts w:hint="default" w:ascii="Times New Roman" w:hAnsi="Times New Roman" w:eastAsia="黑体" w:cs="Times New Roman"/>
          <w:color w:val="auto"/>
          <w:kern w:val="2"/>
          <w:sz w:val="32"/>
          <w:szCs w:val="32"/>
          <w:lang w:val="en-US" w:eastAsia="zh-CN" w:bidi="ar-SA"/>
        </w:rPr>
      </w:pPr>
      <w:r>
        <w:rPr>
          <w:rFonts w:hint="default" w:ascii="Times New Roman" w:hAnsi="Times New Roman" w:eastAsia="黑体" w:cs="Times New Roman"/>
          <w:color w:val="auto"/>
          <w:kern w:val="2"/>
          <w:sz w:val="32"/>
          <w:szCs w:val="32"/>
          <w:lang w:val="en-US" w:eastAsia="zh-CN" w:bidi="ar-SA"/>
        </w:rPr>
        <w:t>二、奖补对象及标准</w:t>
      </w:r>
    </w:p>
    <w:p>
      <w:pPr>
        <w:pStyle w:val="13"/>
        <w:keepNext w:val="0"/>
        <w:keepLines w:val="0"/>
        <w:pageBreakBefore w:val="0"/>
        <w:widowControl w:val="0"/>
        <w:numPr>
          <w:ilvl w:val="0"/>
          <w:numId w:val="0"/>
        </w:numPr>
        <w:kinsoku/>
        <w:wordWrap/>
        <w:overflowPunct w:val="0"/>
        <w:topLinePunct w:val="0"/>
        <w:autoSpaceDE/>
        <w:autoSpaceDN/>
        <w:bidi w:val="0"/>
        <w:adjustRightInd/>
        <w:snapToGrid/>
        <w:spacing w:before="0" w:after="0" w:line="600" w:lineRule="exact"/>
        <w:ind w:left="0" w:right="0" w:rightChars="0" w:firstLine="642" w:firstLineChars="200"/>
        <w:jc w:val="both"/>
        <w:textAlignment w:val="auto"/>
        <w:rPr>
          <w:rFonts w:hint="default" w:ascii="Times New Roman" w:hAnsi="Times New Roman" w:eastAsia="楷体_GB2312" w:cs="Times New Roman"/>
          <w:b/>
          <w:bCs/>
          <w:color w:val="auto"/>
          <w:kern w:val="2"/>
          <w:sz w:val="32"/>
          <w:szCs w:val="32"/>
          <w:lang w:val="en-US" w:eastAsia="zh-CN" w:bidi="ar-SA"/>
        </w:rPr>
      </w:pPr>
      <w:r>
        <w:rPr>
          <w:rFonts w:hint="default" w:ascii="Times New Roman" w:hAnsi="Times New Roman" w:eastAsia="楷体_GB2312" w:cs="Times New Roman"/>
          <w:b/>
          <w:bCs/>
          <w:color w:val="auto"/>
          <w:kern w:val="2"/>
          <w:sz w:val="32"/>
          <w:szCs w:val="32"/>
          <w:lang w:val="en-US" w:eastAsia="zh-CN" w:bidi="ar-SA"/>
        </w:rPr>
        <w:t>1.物业奖补</w:t>
      </w:r>
    </w:p>
    <w:p>
      <w:pPr>
        <w:pStyle w:val="13"/>
        <w:keepNext w:val="0"/>
        <w:keepLines w:val="0"/>
        <w:pageBreakBefore w:val="0"/>
        <w:widowControl w:val="0"/>
        <w:numPr>
          <w:ilvl w:val="0"/>
          <w:numId w:val="0"/>
        </w:numPr>
        <w:kinsoku/>
        <w:wordWrap/>
        <w:overflowPunct w:val="0"/>
        <w:topLinePunct w:val="0"/>
        <w:autoSpaceDE/>
        <w:autoSpaceDN/>
        <w:bidi w:val="0"/>
        <w:adjustRightInd/>
        <w:snapToGrid/>
        <w:spacing w:before="0" w:after="0" w:line="600" w:lineRule="exact"/>
        <w:ind w:left="0" w:leftChars="0"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z w:val="32"/>
          <w:szCs w:val="32"/>
          <w:lang w:val="en-US" w:eastAsia="zh-CN"/>
        </w:rPr>
        <w:t>奖补对象：重点支持引导发展重点区域内新引进演</w:t>
      </w:r>
      <w:r>
        <w:rPr>
          <w:rFonts w:hint="default" w:ascii="Times New Roman" w:hAnsi="Times New Roman" w:eastAsia="仿宋_GB2312" w:cs="Times New Roman"/>
          <w:color w:val="auto"/>
          <w:spacing w:val="0"/>
          <w:kern w:val="2"/>
          <w:sz w:val="32"/>
          <w:szCs w:val="32"/>
          <w:lang w:val="en-US" w:eastAsia="zh-CN" w:bidi="ar-SA"/>
        </w:rPr>
        <w:t>艺新空间项目、项目完成备案审批、且连续运营</w:t>
      </w:r>
      <w:r>
        <w:rPr>
          <w:rFonts w:hint="eastAsia" w:ascii="Times New Roman" w:hAnsi="Times New Roman" w:eastAsia="仿宋_GB2312" w:cs="Times New Roman"/>
          <w:color w:val="auto"/>
          <w:spacing w:val="0"/>
          <w:kern w:val="2"/>
          <w:sz w:val="32"/>
          <w:szCs w:val="32"/>
          <w:lang w:val="en-US" w:eastAsia="zh-CN" w:bidi="ar-SA"/>
        </w:rPr>
        <w:t>3</w:t>
      </w:r>
      <w:r>
        <w:rPr>
          <w:rFonts w:hint="default" w:ascii="Times New Roman" w:hAnsi="Times New Roman" w:eastAsia="仿宋_GB2312" w:cs="Times New Roman"/>
          <w:color w:val="auto"/>
          <w:spacing w:val="0"/>
          <w:kern w:val="2"/>
          <w:sz w:val="32"/>
          <w:szCs w:val="32"/>
          <w:lang w:val="en-US" w:eastAsia="zh-CN" w:bidi="ar-SA"/>
        </w:rPr>
        <w:t>个月以上的物业方或物业运营方。</w:t>
      </w:r>
    </w:p>
    <w:p>
      <w:pPr>
        <w:pStyle w:val="13"/>
        <w:keepNext w:val="0"/>
        <w:keepLines w:val="0"/>
        <w:pageBreakBefore w:val="0"/>
        <w:widowControl w:val="0"/>
        <w:numPr>
          <w:ilvl w:val="0"/>
          <w:numId w:val="0"/>
        </w:numPr>
        <w:kinsoku/>
        <w:wordWrap/>
        <w:overflowPunct w:val="0"/>
        <w:topLinePunct w:val="0"/>
        <w:autoSpaceDE/>
        <w:autoSpaceDN/>
        <w:bidi w:val="0"/>
        <w:adjustRightInd/>
        <w:snapToGrid/>
        <w:spacing w:before="0" w:after="0" w:line="580" w:lineRule="exact"/>
        <w:ind w:left="0" w:leftChars="0"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奖补标准：根据引进项目数量按</w:t>
      </w:r>
      <w:r>
        <w:rPr>
          <w:rFonts w:hint="eastAsia" w:ascii="Times New Roman" w:hAnsi="Times New Roman" w:eastAsia="仿宋_GB2312" w:cs="Times New Roman"/>
          <w:color w:val="auto"/>
          <w:spacing w:val="0"/>
          <w:kern w:val="2"/>
          <w:sz w:val="32"/>
          <w:szCs w:val="32"/>
          <w:lang w:val="en-US" w:eastAsia="zh-CN" w:bidi="ar-SA"/>
        </w:rPr>
        <w:t>5</w:t>
      </w:r>
      <w:r>
        <w:rPr>
          <w:rFonts w:hint="default" w:ascii="Times New Roman" w:hAnsi="Times New Roman" w:eastAsia="仿宋_GB2312" w:cs="Times New Roman"/>
          <w:color w:val="auto"/>
          <w:spacing w:val="0"/>
          <w:kern w:val="2"/>
          <w:sz w:val="32"/>
          <w:szCs w:val="32"/>
          <w:lang w:val="en-US" w:eastAsia="zh-CN" w:bidi="ar-SA"/>
        </w:rPr>
        <w:t>万元/个的标准给予总额最高不超过30万元一次性补助。对于采取阶段性减租免租、以资产入股、票房分成等方式参与演艺新空间建设运营的，综合考量免除金额、项目规模、合同签订年限等因素给予最高不超过10万元的一次性奖励。</w:t>
      </w:r>
    </w:p>
    <w:p>
      <w:pPr>
        <w:pStyle w:val="13"/>
        <w:keepNext w:val="0"/>
        <w:keepLines w:val="0"/>
        <w:pageBreakBefore w:val="0"/>
        <w:widowControl w:val="0"/>
        <w:numPr>
          <w:ilvl w:val="0"/>
          <w:numId w:val="0"/>
        </w:numPr>
        <w:kinsoku/>
        <w:wordWrap/>
        <w:overflowPunct w:val="0"/>
        <w:topLinePunct w:val="0"/>
        <w:autoSpaceDE/>
        <w:autoSpaceDN/>
        <w:bidi w:val="0"/>
        <w:adjustRightInd/>
        <w:snapToGrid/>
        <w:spacing w:before="0" w:after="0" w:line="580" w:lineRule="exact"/>
        <w:ind w:left="0" w:right="0" w:rightChars="0" w:firstLine="642" w:firstLineChars="200"/>
        <w:jc w:val="both"/>
        <w:textAlignment w:val="auto"/>
        <w:rPr>
          <w:rFonts w:hint="default" w:ascii="Times New Roman" w:hAnsi="Times New Roman" w:eastAsia="楷体_GB2312" w:cs="Times New Roman"/>
          <w:b/>
          <w:bCs/>
          <w:color w:val="auto"/>
          <w:kern w:val="2"/>
          <w:sz w:val="32"/>
          <w:szCs w:val="32"/>
          <w:lang w:val="en-US" w:eastAsia="zh-CN" w:bidi="ar-SA"/>
        </w:rPr>
      </w:pPr>
      <w:r>
        <w:rPr>
          <w:rFonts w:hint="default" w:ascii="Times New Roman" w:hAnsi="Times New Roman" w:eastAsia="楷体_GB2312" w:cs="Times New Roman"/>
          <w:b/>
          <w:bCs/>
          <w:color w:val="auto"/>
          <w:kern w:val="2"/>
          <w:sz w:val="32"/>
          <w:szCs w:val="32"/>
          <w:lang w:val="en-US" w:eastAsia="zh-CN" w:bidi="ar-SA"/>
        </w:rPr>
        <w:t>2.新建（改建）投资补助</w:t>
      </w:r>
    </w:p>
    <w:p>
      <w:pPr>
        <w:pStyle w:val="13"/>
        <w:keepNext w:val="0"/>
        <w:keepLines w:val="0"/>
        <w:pageBreakBefore w:val="0"/>
        <w:widowControl w:val="0"/>
        <w:numPr>
          <w:ilvl w:val="0"/>
          <w:numId w:val="0"/>
        </w:numPr>
        <w:kinsoku/>
        <w:wordWrap/>
        <w:overflowPunct w:val="0"/>
        <w:topLinePunct w:val="0"/>
        <w:autoSpaceDE/>
        <w:autoSpaceDN/>
        <w:bidi w:val="0"/>
        <w:adjustRightInd/>
        <w:snapToGrid/>
        <w:spacing w:after="0" w:line="580" w:lineRule="exact"/>
        <w:ind w:left="0" w:leftChars="0"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补助对象：重点支持</w:t>
      </w:r>
      <w:r>
        <w:rPr>
          <w:rFonts w:hint="default" w:ascii="Times New Roman" w:hAnsi="Times New Roman" w:eastAsia="仿宋_GB2312" w:cs="Times New Roman"/>
          <w:color w:val="auto"/>
          <w:sz w:val="32"/>
          <w:szCs w:val="32"/>
          <w:lang w:val="en-US" w:eastAsia="zh-CN"/>
        </w:rPr>
        <w:t>引导发展重点区域内</w:t>
      </w:r>
      <w:r>
        <w:rPr>
          <w:rFonts w:hint="default" w:ascii="Times New Roman" w:hAnsi="Times New Roman" w:eastAsia="仿宋_GB2312" w:cs="Times New Roman"/>
          <w:color w:val="auto"/>
          <w:spacing w:val="0"/>
          <w:kern w:val="2"/>
          <w:sz w:val="32"/>
          <w:szCs w:val="32"/>
          <w:lang w:val="en-US" w:eastAsia="zh-CN" w:bidi="ar-SA"/>
        </w:rPr>
        <w:t>新建或改建、完成备案审批、投入运营3个月以上、投资20万元以上的演艺新空间项目投资方。</w:t>
      </w:r>
    </w:p>
    <w:p>
      <w:pPr>
        <w:pStyle w:val="13"/>
        <w:keepNext w:val="0"/>
        <w:keepLines w:val="0"/>
        <w:pageBreakBefore w:val="0"/>
        <w:widowControl w:val="0"/>
        <w:numPr>
          <w:ilvl w:val="0"/>
          <w:numId w:val="0"/>
        </w:numPr>
        <w:kinsoku/>
        <w:wordWrap/>
        <w:overflowPunct w:val="0"/>
        <w:topLinePunct w:val="0"/>
        <w:autoSpaceDE/>
        <w:autoSpaceDN/>
        <w:bidi w:val="0"/>
        <w:adjustRightInd/>
        <w:snapToGrid/>
        <w:spacing w:after="0" w:line="580" w:lineRule="exact"/>
        <w:ind w:left="0" w:leftChars="0"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补助标准：投资20万元以上的，一次性补助4万元；以20万元为基数，投资每增加10万元，补助增加2万元，一次性补助总额最高不超过50万元。</w:t>
      </w:r>
    </w:p>
    <w:p>
      <w:pPr>
        <w:pStyle w:val="13"/>
        <w:keepNext w:val="0"/>
        <w:keepLines w:val="0"/>
        <w:pageBreakBefore w:val="0"/>
        <w:widowControl w:val="0"/>
        <w:numPr>
          <w:ilvl w:val="0"/>
          <w:numId w:val="0"/>
        </w:numPr>
        <w:kinsoku/>
        <w:wordWrap/>
        <w:overflowPunct w:val="0"/>
        <w:topLinePunct w:val="0"/>
        <w:autoSpaceDE/>
        <w:autoSpaceDN/>
        <w:bidi w:val="0"/>
        <w:adjustRightInd/>
        <w:snapToGrid/>
        <w:spacing w:before="0" w:after="0" w:line="580" w:lineRule="exact"/>
        <w:ind w:left="0" w:right="0" w:rightChars="0" w:firstLine="642" w:firstLineChars="200"/>
        <w:jc w:val="both"/>
        <w:textAlignment w:val="auto"/>
        <w:rPr>
          <w:rFonts w:hint="default" w:ascii="Times New Roman" w:hAnsi="Times New Roman" w:eastAsia="楷体_GB2312" w:cs="Times New Roman"/>
          <w:b/>
          <w:bCs/>
          <w:color w:val="auto"/>
          <w:kern w:val="2"/>
          <w:sz w:val="32"/>
          <w:szCs w:val="32"/>
          <w:lang w:val="en-US" w:eastAsia="zh-CN" w:bidi="ar-SA"/>
        </w:rPr>
      </w:pPr>
      <w:r>
        <w:rPr>
          <w:rFonts w:hint="default" w:ascii="Times New Roman" w:hAnsi="Times New Roman" w:eastAsia="楷体_GB2312" w:cs="Times New Roman"/>
          <w:b/>
          <w:bCs/>
          <w:color w:val="auto"/>
          <w:kern w:val="2"/>
          <w:sz w:val="32"/>
          <w:szCs w:val="32"/>
          <w:lang w:val="en-US" w:eastAsia="zh-CN" w:bidi="ar-SA"/>
        </w:rPr>
        <w:t>3.运营补助</w:t>
      </w:r>
    </w:p>
    <w:p>
      <w:pPr>
        <w:pStyle w:val="13"/>
        <w:keepNext w:val="0"/>
        <w:keepLines w:val="0"/>
        <w:pageBreakBefore w:val="0"/>
        <w:widowControl w:val="0"/>
        <w:numPr>
          <w:ilvl w:val="0"/>
          <w:numId w:val="0"/>
        </w:numPr>
        <w:kinsoku/>
        <w:wordWrap/>
        <w:overflowPunct w:val="0"/>
        <w:topLinePunct w:val="0"/>
        <w:autoSpaceDE/>
        <w:autoSpaceDN/>
        <w:bidi w:val="0"/>
        <w:adjustRightInd/>
        <w:snapToGrid/>
        <w:spacing w:after="0" w:line="580" w:lineRule="exact"/>
        <w:ind w:left="0" w:leftChars="0"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补助对象：全市范围内当年正常运营、上座率超过60%、演出100场以上或票房收入100万元以上的演艺新空间运营方（组合售票的按演出场次计算）。</w:t>
      </w:r>
    </w:p>
    <w:p>
      <w:pPr>
        <w:pStyle w:val="13"/>
        <w:keepNext w:val="0"/>
        <w:keepLines w:val="0"/>
        <w:pageBreakBefore w:val="0"/>
        <w:widowControl w:val="0"/>
        <w:numPr>
          <w:ilvl w:val="0"/>
          <w:numId w:val="0"/>
        </w:numPr>
        <w:kinsoku/>
        <w:wordWrap/>
        <w:overflowPunct w:val="0"/>
        <w:topLinePunct w:val="0"/>
        <w:autoSpaceDE/>
        <w:autoSpaceDN/>
        <w:bidi w:val="0"/>
        <w:adjustRightInd/>
        <w:snapToGrid/>
        <w:spacing w:after="0" w:line="580" w:lineRule="exact"/>
        <w:ind w:left="0" w:leftChars="0"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补助标准：演出100场以上或票房收入100万元以上的，补助10万元；以演出100场或票房收入100万元为基数，场次每增加20场或票房收入每增加20万元，补助增加</w:t>
      </w:r>
      <w:r>
        <w:rPr>
          <w:rFonts w:hint="eastAsia" w:ascii="Times New Roman" w:hAnsi="Times New Roman" w:eastAsia="仿宋_GB2312" w:cs="Times New Roman"/>
          <w:color w:val="auto"/>
          <w:spacing w:val="0"/>
          <w:kern w:val="2"/>
          <w:sz w:val="32"/>
          <w:szCs w:val="32"/>
          <w:lang w:val="en-US" w:eastAsia="zh-CN" w:bidi="ar-SA"/>
        </w:rPr>
        <w:t>2</w:t>
      </w:r>
      <w:r>
        <w:rPr>
          <w:rFonts w:hint="default" w:ascii="Times New Roman" w:hAnsi="Times New Roman" w:eastAsia="仿宋_GB2312" w:cs="Times New Roman"/>
          <w:color w:val="auto"/>
          <w:spacing w:val="0"/>
          <w:kern w:val="2"/>
          <w:sz w:val="32"/>
          <w:szCs w:val="32"/>
          <w:lang w:val="en-US" w:eastAsia="zh-CN" w:bidi="ar-SA"/>
        </w:rPr>
        <w:t>万元，补助总额最高不超过30万元。</w:t>
      </w:r>
    </w:p>
    <w:p>
      <w:pPr>
        <w:pStyle w:val="13"/>
        <w:keepNext w:val="0"/>
        <w:keepLines w:val="0"/>
        <w:pageBreakBefore w:val="0"/>
        <w:widowControl w:val="0"/>
        <w:numPr>
          <w:ilvl w:val="0"/>
          <w:numId w:val="0"/>
        </w:numPr>
        <w:kinsoku/>
        <w:wordWrap/>
        <w:overflowPunct w:val="0"/>
        <w:topLinePunct w:val="0"/>
        <w:autoSpaceDE/>
        <w:autoSpaceDN/>
        <w:bidi w:val="0"/>
        <w:adjustRightInd/>
        <w:snapToGrid/>
        <w:spacing w:before="0" w:after="0" w:line="580" w:lineRule="exact"/>
        <w:ind w:left="0" w:right="0" w:rightChars="0" w:firstLine="642" w:firstLineChars="200"/>
        <w:jc w:val="both"/>
        <w:textAlignment w:val="auto"/>
        <w:rPr>
          <w:rFonts w:hint="default" w:ascii="Times New Roman" w:hAnsi="Times New Roman" w:eastAsia="楷体_GB2312" w:cs="Times New Roman"/>
          <w:b/>
          <w:bCs/>
          <w:color w:val="auto"/>
          <w:kern w:val="2"/>
          <w:sz w:val="32"/>
          <w:szCs w:val="32"/>
          <w:lang w:val="en-US" w:eastAsia="zh-CN" w:bidi="ar-SA"/>
        </w:rPr>
      </w:pPr>
      <w:r>
        <w:rPr>
          <w:rFonts w:hint="default" w:ascii="Times New Roman" w:hAnsi="Times New Roman" w:eastAsia="楷体_GB2312" w:cs="Times New Roman"/>
          <w:b/>
          <w:bCs/>
          <w:color w:val="auto"/>
          <w:kern w:val="2"/>
          <w:sz w:val="32"/>
          <w:szCs w:val="32"/>
          <w:lang w:val="en-US" w:eastAsia="zh-CN" w:bidi="ar-SA"/>
        </w:rPr>
        <w:t>4.剧目补助</w:t>
      </w:r>
    </w:p>
    <w:p>
      <w:pPr>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（1）原创剧目补助</w:t>
      </w:r>
    </w:p>
    <w:p>
      <w:pPr>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补助对象</w:t>
      </w:r>
      <w:r>
        <w:rPr>
          <w:rFonts w:hint="default" w:ascii="Times New Roman" w:hAnsi="Times New Roman" w:eastAsia="黑体" w:cs="Times New Roman"/>
          <w:color w:val="auto"/>
          <w:kern w:val="2"/>
          <w:sz w:val="32"/>
          <w:szCs w:val="32"/>
          <w:lang w:val="en-US" w:eastAsia="zh-CN" w:bidi="ar-SA"/>
        </w:rPr>
        <w:t>：</w:t>
      </w:r>
      <w:r>
        <w:rPr>
          <w:rFonts w:hint="default" w:ascii="Times New Roman" w:hAnsi="Times New Roman" w:eastAsia="仿宋_GB2312" w:cs="Times New Roman"/>
          <w:color w:val="auto"/>
          <w:spacing w:val="0"/>
          <w:kern w:val="2"/>
          <w:sz w:val="32"/>
          <w:szCs w:val="32"/>
          <w:lang w:val="en-US" w:eastAsia="zh-CN" w:bidi="ar-SA"/>
        </w:rPr>
        <w:t>当年通过审查正式公演、在演艺新空间驻场演出10场以上的原创剧目出品方。</w:t>
      </w:r>
    </w:p>
    <w:p>
      <w:pPr>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补助标准：总投资20万元以上的，一次性补助4万元；以20万元为基数，投资每增加10万元，补助增加2万元，一次性补助总额最高不超过30万元。</w:t>
      </w:r>
    </w:p>
    <w:p>
      <w:pPr>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（2）剧目巡演补助</w:t>
      </w:r>
    </w:p>
    <w:p>
      <w:pPr>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补助对象：当年组织长沙本土原创剧目赴省外巡演5场以上的组织运营方。</w:t>
      </w:r>
    </w:p>
    <w:p>
      <w:pPr>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补助标准：按2万元/场的标准，给予总额最高不超过15万元一次性补助。</w:t>
      </w:r>
    </w:p>
    <w:p>
      <w:pPr>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（3）剧本创作补助</w:t>
      </w:r>
    </w:p>
    <w:p>
      <w:pPr>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补助对象：当年在湖南省文化和旅游厅、长沙市文化旅游广电局主办的演艺新空间原创剧本征集活动中被评定为优秀等级以上的剧本创作方或委约创作方。</w:t>
      </w:r>
    </w:p>
    <w:p>
      <w:pPr>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0" w:firstLineChars="200"/>
        <w:jc w:val="both"/>
        <w:textAlignment w:val="auto"/>
        <w:rPr>
          <w:rFonts w:hint="default" w:ascii="Times New Roman" w:hAnsi="Times New Roman" w:eastAsia="楷体_GB2312" w:cs="Times New Roman"/>
          <w:color w:val="auto"/>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补助标准：结合考量剧本质量、篇幅给予最高不超过5万元补助。</w:t>
      </w:r>
    </w:p>
    <w:p>
      <w:pPr>
        <w:pStyle w:val="13"/>
        <w:keepNext w:val="0"/>
        <w:keepLines w:val="0"/>
        <w:pageBreakBefore w:val="0"/>
        <w:widowControl w:val="0"/>
        <w:numPr>
          <w:ilvl w:val="0"/>
          <w:numId w:val="0"/>
        </w:numPr>
        <w:kinsoku/>
        <w:wordWrap/>
        <w:overflowPunct w:val="0"/>
        <w:topLinePunct w:val="0"/>
        <w:autoSpaceDE/>
        <w:autoSpaceDN/>
        <w:bidi w:val="0"/>
        <w:adjustRightInd/>
        <w:snapToGrid/>
        <w:spacing w:before="0" w:after="0" w:line="580" w:lineRule="exact"/>
        <w:ind w:left="0" w:right="0" w:rightChars="0" w:firstLine="642" w:firstLineChars="200"/>
        <w:jc w:val="both"/>
        <w:textAlignment w:val="auto"/>
        <w:rPr>
          <w:rFonts w:hint="default" w:ascii="Times New Roman" w:hAnsi="Times New Roman" w:eastAsia="楷体_GB2312" w:cs="Times New Roman"/>
          <w:b/>
          <w:bCs/>
          <w:color w:val="auto"/>
          <w:kern w:val="2"/>
          <w:sz w:val="32"/>
          <w:szCs w:val="32"/>
          <w:lang w:val="en-US" w:eastAsia="zh-CN" w:bidi="ar-SA"/>
        </w:rPr>
      </w:pPr>
      <w:r>
        <w:rPr>
          <w:rFonts w:hint="default" w:ascii="Times New Roman" w:hAnsi="Times New Roman" w:eastAsia="楷体_GB2312" w:cs="Times New Roman"/>
          <w:b/>
          <w:bCs/>
          <w:color w:val="auto"/>
          <w:kern w:val="2"/>
          <w:sz w:val="32"/>
          <w:szCs w:val="32"/>
          <w:lang w:val="en-US" w:eastAsia="zh-CN" w:bidi="ar-SA"/>
        </w:rPr>
        <w:t>5.人才引进补助</w:t>
      </w:r>
    </w:p>
    <w:p>
      <w:pPr>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补助对象：接收应届高校毕业生、且连续工作满3个月的演艺新空间运营方。</w:t>
      </w:r>
    </w:p>
    <w:p>
      <w:pPr>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补助标准：按0.5万元/人的标准每年给予总额最高5万元一次性补助。</w:t>
      </w:r>
    </w:p>
    <w:p>
      <w:pPr>
        <w:pStyle w:val="13"/>
        <w:keepNext w:val="0"/>
        <w:keepLines w:val="0"/>
        <w:pageBreakBefore w:val="0"/>
        <w:widowControl w:val="0"/>
        <w:numPr>
          <w:ilvl w:val="0"/>
          <w:numId w:val="0"/>
        </w:numPr>
        <w:kinsoku/>
        <w:wordWrap/>
        <w:overflowPunct w:val="0"/>
        <w:topLinePunct w:val="0"/>
        <w:autoSpaceDE/>
        <w:autoSpaceDN/>
        <w:bidi w:val="0"/>
        <w:adjustRightInd/>
        <w:snapToGrid/>
        <w:spacing w:before="0" w:after="0" w:line="580" w:lineRule="exact"/>
        <w:ind w:left="0" w:right="0" w:rightChars="0" w:firstLine="642" w:firstLineChars="200"/>
        <w:jc w:val="both"/>
        <w:textAlignment w:val="auto"/>
        <w:rPr>
          <w:rFonts w:hint="default" w:ascii="Times New Roman" w:hAnsi="Times New Roman" w:eastAsia="楷体_GB2312" w:cs="Times New Roman"/>
          <w:b/>
          <w:bCs/>
          <w:color w:val="auto"/>
          <w:kern w:val="2"/>
          <w:sz w:val="32"/>
          <w:szCs w:val="32"/>
          <w:lang w:val="en-US" w:eastAsia="zh-CN" w:bidi="ar-SA"/>
        </w:rPr>
      </w:pPr>
      <w:r>
        <w:rPr>
          <w:rFonts w:hint="default" w:ascii="Times New Roman" w:hAnsi="Times New Roman" w:eastAsia="楷体_GB2312" w:cs="Times New Roman"/>
          <w:b/>
          <w:bCs/>
          <w:color w:val="auto"/>
          <w:kern w:val="2"/>
          <w:sz w:val="32"/>
          <w:szCs w:val="32"/>
          <w:lang w:val="en-US" w:eastAsia="zh-CN" w:bidi="ar-SA"/>
        </w:rPr>
        <w:t>6.市级演艺新空间奖励</w:t>
      </w:r>
    </w:p>
    <w:p>
      <w:pPr>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奖励对象：年度被认定为市级演艺新空间项目的运营方。</w:t>
      </w:r>
    </w:p>
    <w:p>
      <w:pPr>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default" w:ascii="Times New Roman" w:hAnsi="Times New Roman" w:eastAsia="仿宋_GB2312" w:cs="Times New Roman"/>
          <w:color w:val="auto"/>
          <w:spacing w:val="0"/>
          <w:kern w:val="2"/>
          <w:sz w:val="32"/>
          <w:szCs w:val="32"/>
          <w:lang w:val="en-US" w:eastAsia="zh-CN" w:bidi="ar-SA"/>
        </w:rPr>
        <w:t>奖励标准：按20万元/个的标准给予一次性奖励。</w:t>
      </w:r>
    </w:p>
    <w:p>
      <w:pPr>
        <w:pStyle w:val="13"/>
        <w:keepNext w:val="0"/>
        <w:keepLines w:val="0"/>
        <w:pageBreakBefore w:val="0"/>
        <w:widowControl w:val="0"/>
        <w:numPr>
          <w:ilvl w:val="0"/>
          <w:numId w:val="0"/>
        </w:numPr>
        <w:kinsoku/>
        <w:wordWrap/>
        <w:overflowPunct w:val="0"/>
        <w:topLinePunct w:val="0"/>
        <w:autoSpaceDE/>
        <w:autoSpaceDN/>
        <w:bidi w:val="0"/>
        <w:adjustRightInd/>
        <w:snapToGrid/>
        <w:spacing w:before="0" w:after="0" w:line="580" w:lineRule="exact"/>
        <w:ind w:left="0" w:right="0" w:rightChars="0" w:firstLine="642" w:firstLineChars="200"/>
        <w:jc w:val="both"/>
        <w:textAlignment w:val="auto"/>
        <w:rPr>
          <w:rFonts w:hint="default" w:ascii="Times New Roman" w:hAnsi="Times New Roman" w:eastAsia="楷体_GB2312" w:cs="Times New Roman"/>
          <w:b/>
          <w:bCs/>
          <w:color w:val="auto"/>
          <w:kern w:val="2"/>
          <w:sz w:val="32"/>
          <w:szCs w:val="32"/>
          <w:lang w:val="en-US" w:eastAsia="zh-CN" w:bidi="ar-SA"/>
        </w:rPr>
      </w:pPr>
      <w:r>
        <w:rPr>
          <w:rFonts w:hint="default" w:ascii="Times New Roman" w:hAnsi="Times New Roman" w:eastAsia="楷体_GB2312" w:cs="Times New Roman"/>
          <w:b/>
          <w:bCs/>
          <w:color w:val="auto"/>
          <w:kern w:val="2"/>
          <w:sz w:val="32"/>
          <w:szCs w:val="32"/>
          <w:lang w:val="en-US" w:eastAsia="zh-CN" w:bidi="ar-SA"/>
        </w:rPr>
        <w:t>7.票务平台补助</w:t>
      </w:r>
    </w:p>
    <w:p>
      <w:pPr>
        <w:pStyle w:val="18"/>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pacing w:val="0"/>
          <w:kern w:val="2"/>
          <w:sz w:val="32"/>
          <w:szCs w:val="32"/>
          <w:lang w:val="en-US" w:eastAsia="zh-CN" w:bidi="ar-SA"/>
        </w:rPr>
        <w:t>补助对象：</w:t>
      </w:r>
      <w:r>
        <w:rPr>
          <w:rFonts w:hint="default" w:ascii="Times New Roman" w:hAnsi="Times New Roman" w:eastAsia="仿宋_GB2312" w:cs="Times New Roman"/>
          <w:color w:val="auto"/>
          <w:sz w:val="32"/>
          <w:szCs w:val="32"/>
        </w:rPr>
        <w:t>设立长沙演艺新空间售票专区</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推出惠民票价等促销活动</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pacing w:val="0"/>
          <w:kern w:val="2"/>
          <w:sz w:val="32"/>
          <w:szCs w:val="32"/>
          <w:lang w:val="en-US" w:eastAsia="zh-CN" w:bidi="ar-SA"/>
        </w:rPr>
        <w:t>入驻项目超20个、当年票房总销售额超500万元的</w:t>
      </w:r>
      <w:r>
        <w:rPr>
          <w:rFonts w:hint="default" w:ascii="Times New Roman" w:hAnsi="Times New Roman" w:eastAsia="仿宋_GB2312" w:cs="Times New Roman"/>
          <w:color w:val="auto"/>
          <w:sz w:val="32"/>
          <w:szCs w:val="32"/>
        </w:rPr>
        <w:t>票务平台公司</w:t>
      </w:r>
      <w:r>
        <w:rPr>
          <w:rFonts w:hint="eastAsia" w:eastAsia="仿宋_GB2312" w:cs="Times New Roman"/>
          <w:color w:val="auto"/>
          <w:sz w:val="32"/>
          <w:szCs w:val="32"/>
          <w:lang w:eastAsia="zh-CN"/>
        </w:rPr>
        <w:t>。</w:t>
      </w:r>
    </w:p>
    <w:p>
      <w:pPr>
        <w:pStyle w:val="18"/>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补助标准：票房总销售额</w:t>
      </w:r>
      <w:r>
        <w:rPr>
          <w:rFonts w:hint="default" w:ascii="Times New Roman" w:hAnsi="Times New Roman" w:eastAsia="仿宋_GB2312" w:cs="Times New Roman"/>
          <w:color w:val="auto"/>
          <w:sz w:val="32"/>
          <w:szCs w:val="32"/>
          <w:lang w:val="en-US" w:eastAsia="zh-CN"/>
        </w:rPr>
        <w:t>500万元以上的补助5万元，以500万元为基础，销售额每增加500万元，补助增加5万元，补助总额</w:t>
      </w:r>
      <w:r>
        <w:rPr>
          <w:rFonts w:hint="default" w:ascii="Times New Roman" w:hAnsi="Times New Roman" w:eastAsia="仿宋_GB2312" w:cs="Times New Roman"/>
          <w:color w:val="auto"/>
          <w:sz w:val="32"/>
          <w:szCs w:val="32"/>
        </w:rPr>
        <w:t>最高</w:t>
      </w:r>
      <w:r>
        <w:rPr>
          <w:rFonts w:hint="default" w:ascii="Times New Roman" w:hAnsi="Times New Roman" w:eastAsia="仿宋_GB2312" w:cs="Times New Roman"/>
          <w:color w:val="auto"/>
          <w:sz w:val="32"/>
          <w:szCs w:val="32"/>
          <w:lang w:eastAsia="zh-CN"/>
        </w:rPr>
        <w:t>不超过</w:t>
      </w:r>
      <w:r>
        <w:rPr>
          <w:rFonts w:hint="default" w:ascii="Times New Roman" w:hAnsi="Times New Roman" w:eastAsia="仿宋_GB2312" w:cs="Times New Roman"/>
          <w:color w:val="auto"/>
          <w:sz w:val="32"/>
          <w:szCs w:val="32"/>
        </w:rPr>
        <w:t>50万元。</w:t>
      </w:r>
    </w:p>
    <w:p>
      <w:pPr>
        <w:pStyle w:val="13"/>
        <w:keepNext w:val="0"/>
        <w:keepLines w:val="0"/>
        <w:pageBreakBefore w:val="0"/>
        <w:widowControl w:val="0"/>
        <w:numPr>
          <w:ilvl w:val="0"/>
          <w:numId w:val="0"/>
        </w:numPr>
        <w:kinsoku/>
        <w:wordWrap/>
        <w:overflowPunct w:val="0"/>
        <w:topLinePunct w:val="0"/>
        <w:autoSpaceDE/>
        <w:autoSpaceDN/>
        <w:bidi w:val="0"/>
        <w:adjustRightInd/>
        <w:snapToGrid/>
        <w:spacing w:before="0" w:after="0" w:line="580" w:lineRule="exact"/>
        <w:ind w:left="0" w:right="0" w:rightChars="0" w:firstLine="642" w:firstLineChars="200"/>
        <w:jc w:val="both"/>
        <w:textAlignment w:val="auto"/>
        <w:rPr>
          <w:rFonts w:hint="default" w:ascii="Times New Roman" w:hAnsi="Times New Roman" w:eastAsia="楷体_GB2312" w:cs="Times New Roman"/>
          <w:b/>
          <w:bCs/>
          <w:color w:val="auto"/>
          <w:kern w:val="2"/>
          <w:sz w:val="32"/>
          <w:szCs w:val="32"/>
          <w:lang w:val="en-US" w:eastAsia="zh-CN" w:bidi="ar-SA"/>
        </w:rPr>
      </w:pPr>
      <w:r>
        <w:rPr>
          <w:rFonts w:hint="default" w:ascii="Times New Roman" w:hAnsi="Times New Roman" w:eastAsia="楷体_GB2312" w:cs="Times New Roman"/>
          <w:b/>
          <w:bCs/>
          <w:color w:val="auto"/>
          <w:kern w:val="2"/>
          <w:sz w:val="32"/>
          <w:szCs w:val="32"/>
          <w:lang w:val="en-US" w:eastAsia="zh-CN" w:bidi="ar-SA"/>
        </w:rPr>
        <w:t>8.展演比赛补助</w:t>
      </w:r>
    </w:p>
    <w:p>
      <w:pPr>
        <w:pStyle w:val="18"/>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补助对象：举办全市、全省、全国演艺新空间剧目展演、比赛竞演等活动的组织方。</w:t>
      </w:r>
    </w:p>
    <w:p>
      <w:pPr>
        <w:pStyle w:val="18"/>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补助标准：按市级项目10万元/个、省级项目20万元/个、全国性项目30万元/个的标准给予一次性补助。</w:t>
      </w:r>
    </w:p>
    <w:p>
      <w:pPr>
        <w:pStyle w:val="18"/>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0" w:firstLineChars="200"/>
        <w:jc w:val="both"/>
        <w:textAlignment w:val="auto"/>
        <w:rPr>
          <w:rFonts w:hint="default" w:ascii="Times New Roman" w:hAnsi="Times New Roman" w:eastAsia="黑体" w:cs="Times New Roman"/>
          <w:color w:val="auto"/>
          <w:kern w:val="2"/>
          <w:sz w:val="32"/>
          <w:szCs w:val="32"/>
          <w:lang w:val="en-US" w:eastAsia="zh-CN" w:bidi="ar-SA"/>
        </w:rPr>
      </w:pPr>
      <w:r>
        <w:rPr>
          <w:rFonts w:hint="default" w:ascii="Times New Roman" w:hAnsi="Times New Roman" w:eastAsia="黑体" w:cs="Times New Roman"/>
          <w:color w:val="auto"/>
          <w:kern w:val="2"/>
          <w:sz w:val="32"/>
          <w:szCs w:val="32"/>
          <w:lang w:val="en-US" w:eastAsia="zh-CN" w:bidi="ar-SA"/>
        </w:rPr>
        <w:t>三、申报审核流程</w:t>
      </w:r>
    </w:p>
    <w:p>
      <w:pPr>
        <w:pStyle w:val="18"/>
        <w:keepNext w:val="0"/>
        <w:keepLines w:val="0"/>
        <w:pageBreakBefore w:val="0"/>
        <w:widowControl w:val="0"/>
        <w:kinsoku/>
        <w:wordWrap/>
        <w:overflowPunct w:val="0"/>
        <w:topLinePunct w:val="0"/>
        <w:autoSpaceDE/>
        <w:autoSpaceDN/>
        <w:bidi w:val="0"/>
        <w:adjustRightInd/>
        <w:snapToGrid/>
        <w:spacing w:before="0" w:after="0" w:line="580" w:lineRule="exact"/>
        <w:ind w:right="0" w:rightChars="0"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kern w:val="2"/>
          <w:sz w:val="32"/>
          <w:szCs w:val="32"/>
          <w:lang w:val="en-US" w:eastAsia="zh-CN" w:bidi="ar-SA"/>
        </w:rPr>
        <w:t>1.通知。</w:t>
      </w:r>
      <w:r>
        <w:rPr>
          <w:rFonts w:hint="default" w:ascii="Times New Roman" w:hAnsi="Times New Roman" w:eastAsia="仿宋_GB2312" w:cs="Times New Roman"/>
          <w:color w:val="auto"/>
          <w:sz w:val="32"/>
          <w:szCs w:val="32"/>
          <w:lang w:val="en-US" w:eastAsia="zh-CN"/>
        </w:rPr>
        <w:t>市文化旅游广电局牵头拟定下发申报通知，并通过官方平台发布。</w:t>
      </w:r>
    </w:p>
    <w:p>
      <w:pPr>
        <w:pStyle w:val="18"/>
        <w:keepNext w:val="0"/>
        <w:keepLines w:val="0"/>
        <w:pageBreakBefore w:val="0"/>
        <w:widowControl w:val="0"/>
        <w:kinsoku/>
        <w:wordWrap/>
        <w:overflowPunct w:val="0"/>
        <w:topLinePunct w:val="0"/>
        <w:autoSpaceDE/>
        <w:autoSpaceDN/>
        <w:bidi w:val="0"/>
        <w:adjustRightInd/>
        <w:snapToGrid/>
        <w:spacing w:before="0" w:after="0" w:line="580" w:lineRule="exact"/>
        <w:ind w:right="0" w:rightChars="0"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kern w:val="2"/>
          <w:sz w:val="32"/>
          <w:szCs w:val="32"/>
          <w:lang w:val="en-US" w:eastAsia="zh-CN" w:bidi="ar-SA"/>
        </w:rPr>
        <w:t>2.初审。</w:t>
      </w:r>
      <w:r>
        <w:rPr>
          <w:rFonts w:hint="default" w:ascii="Times New Roman" w:hAnsi="Times New Roman" w:eastAsia="仿宋_GB2312" w:cs="Times New Roman"/>
          <w:color w:val="auto"/>
          <w:sz w:val="32"/>
          <w:szCs w:val="32"/>
          <w:lang w:val="en-US" w:eastAsia="zh-CN"/>
        </w:rPr>
        <w:t>申报单位按要求准备申报材料提交属地区县（市）文旅部门初审。初审内容主要包括：申报单位是否符合申报条件、申报资料是否真实完整等。初审合格的申报材料由属地区县（市）文旅部门汇总提交市文化旅游广电局。初审不合格的项目需注明原因，并向申报单位做好解释说明。</w:t>
      </w:r>
    </w:p>
    <w:p>
      <w:pPr>
        <w:pStyle w:val="18"/>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kern w:val="2"/>
          <w:sz w:val="32"/>
          <w:szCs w:val="32"/>
          <w:lang w:val="en-US" w:eastAsia="zh-CN" w:bidi="ar-SA"/>
        </w:rPr>
        <w:t>3.评审。</w:t>
      </w:r>
      <w:r>
        <w:rPr>
          <w:rFonts w:hint="default" w:ascii="Times New Roman" w:hAnsi="Times New Roman" w:eastAsia="仿宋_GB2312" w:cs="Times New Roman"/>
          <w:color w:val="auto"/>
          <w:sz w:val="32"/>
          <w:szCs w:val="32"/>
          <w:lang w:val="en-US" w:eastAsia="zh-CN"/>
        </w:rPr>
        <w:t>成立由省市相关部门和专家组成的评审小组，对申报项目进行评审，视</w:t>
      </w:r>
      <w:r>
        <w:rPr>
          <w:rFonts w:hint="eastAsia" w:eastAsia="仿宋_GB2312" w:cs="Times New Roman"/>
          <w:color w:val="auto"/>
          <w:sz w:val="32"/>
          <w:szCs w:val="32"/>
          <w:lang w:val="en-US" w:eastAsia="zh-CN"/>
        </w:rPr>
        <w:t>情况</w:t>
      </w:r>
      <w:r>
        <w:rPr>
          <w:rFonts w:hint="default" w:ascii="Times New Roman" w:hAnsi="Times New Roman" w:eastAsia="仿宋_GB2312" w:cs="Times New Roman"/>
          <w:color w:val="auto"/>
          <w:sz w:val="32"/>
          <w:szCs w:val="32"/>
          <w:lang w:val="en-US" w:eastAsia="zh-CN"/>
        </w:rPr>
        <w:t>进行现场核查。</w:t>
      </w:r>
    </w:p>
    <w:p>
      <w:pPr>
        <w:pStyle w:val="18"/>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kern w:val="2"/>
          <w:sz w:val="32"/>
          <w:szCs w:val="32"/>
          <w:lang w:val="en-US" w:eastAsia="zh-CN" w:bidi="ar-SA"/>
        </w:rPr>
        <w:t>4.公示。</w:t>
      </w:r>
      <w:r>
        <w:rPr>
          <w:rFonts w:hint="default" w:ascii="Times New Roman" w:hAnsi="Times New Roman" w:eastAsia="仿宋_GB2312" w:cs="Times New Roman"/>
          <w:color w:val="auto"/>
          <w:sz w:val="32"/>
          <w:szCs w:val="32"/>
          <w:lang w:val="en-US" w:eastAsia="zh-CN"/>
        </w:rPr>
        <w:t>市文化旅游广电局根据评审结果拟定奖补方案，经集体研究后在官方平台予以公示。评审结果向省、市相关部门报备。</w:t>
      </w:r>
    </w:p>
    <w:p>
      <w:pPr>
        <w:pStyle w:val="18"/>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kern w:val="2"/>
          <w:sz w:val="32"/>
          <w:szCs w:val="32"/>
          <w:lang w:val="en-US" w:eastAsia="zh-CN" w:bidi="ar-SA"/>
        </w:rPr>
        <w:t>5.审批。</w:t>
      </w:r>
      <w:r>
        <w:rPr>
          <w:rFonts w:hint="default" w:ascii="Times New Roman" w:hAnsi="Times New Roman" w:eastAsia="仿宋_GB2312" w:cs="Times New Roman"/>
          <w:color w:val="auto"/>
          <w:sz w:val="32"/>
          <w:szCs w:val="32"/>
          <w:lang w:val="en-US" w:eastAsia="zh-CN"/>
        </w:rPr>
        <w:t>公示无异议后按程序进行审批。</w:t>
      </w:r>
    </w:p>
    <w:p>
      <w:pPr>
        <w:pStyle w:val="18"/>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kern w:val="2"/>
          <w:sz w:val="32"/>
          <w:szCs w:val="32"/>
          <w:lang w:val="en-US" w:eastAsia="zh-CN" w:bidi="ar-SA"/>
        </w:rPr>
        <w:t>6.拨付。</w:t>
      </w:r>
      <w:r>
        <w:rPr>
          <w:rFonts w:hint="default" w:ascii="Times New Roman" w:hAnsi="Times New Roman" w:eastAsia="仿宋_GB2312" w:cs="Times New Roman"/>
          <w:color w:val="auto"/>
          <w:sz w:val="32"/>
          <w:szCs w:val="32"/>
          <w:lang w:val="en-US" w:eastAsia="zh-CN"/>
        </w:rPr>
        <w:t>依据相关规定将奖补资金拨付至申报主体。</w:t>
      </w:r>
    </w:p>
    <w:p>
      <w:pPr>
        <w:pStyle w:val="18"/>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0" w:firstLineChars="200"/>
        <w:jc w:val="both"/>
        <w:textAlignment w:val="auto"/>
        <w:rPr>
          <w:rFonts w:hint="default" w:ascii="Times New Roman" w:hAnsi="Times New Roman" w:eastAsia="黑体" w:cs="Times New Roman"/>
          <w:color w:val="auto"/>
          <w:kern w:val="2"/>
          <w:sz w:val="32"/>
          <w:szCs w:val="32"/>
          <w:lang w:val="en-US" w:eastAsia="zh-CN" w:bidi="ar-SA"/>
        </w:rPr>
      </w:pPr>
      <w:r>
        <w:rPr>
          <w:rFonts w:hint="default" w:ascii="Times New Roman" w:hAnsi="Times New Roman" w:eastAsia="黑体" w:cs="Times New Roman"/>
          <w:color w:val="auto"/>
          <w:kern w:val="2"/>
          <w:sz w:val="32"/>
          <w:szCs w:val="32"/>
          <w:lang w:val="en-US" w:eastAsia="zh-CN" w:bidi="ar-SA"/>
        </w:rPr>
        <w:t>四、监督与绩效评价</w:t>
      </w:r>
    </w:p>
    <w:p>
      <w:pPr>
        <w:pStyle w:val="18"/>
        <w:keepNext w:val="0"/>
        <w:keepLines w:val="0"/>
        <w:pageBreakBefore w:val="0"/>
        <w:widowControl w:val="0"/>
        <w:kinsoku/>
        <w:wordWrap/>
        <w:overflowPunct w:val="0"/>
        <w:topLinePunct w:val="0"/>
        <w:autoSpaceDE/>
        <w:autoSpaceDN/>
        <w:bidi w:val="0"/>
        <w:adjustRightInd/>
        <w:snapToGrid/>
        <w:spacing w:before="0" w:after="0" w:line="580" w:lineRule="exact"/>
        <w:ind w:right="0" w:righ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1.奖补资金申报、审核全过程接受纪检监察等部门的监督检查，各级相关部门应当按照各自职责规范流程，加强管理，强化监督。</w:t>
      </w:r>
    </w:p>
    <w:p>
      <w:pPr>
        <w:pStyle w:val="18"/>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2.申报主体对提交的申报材料真实性、合法性负责，对于利用虚假材料套取奖补资金的，一经发现取消其三年内的申报资格，并追回冒领资金，</w:t>
      </w:r>
      <w:r>
        <w:rPr>
          <w:rFonts w:hint="eastAsia" w:eastAsia="仿宋_GB2312" w:cs="Times New Roman"/>
          <w:color w:val="auto"/>
          <w:sz w:val="32"/>
          <w:szCs w:val="32"/>
          <w:highlight w:val="none"/>
          <w:lang w:val="en-US" w:eastAsia="zh-CN"/>
        </w:rPr>
        <w:t>依法</w:t>
      </w:r>
      <w:r>
        <w:rPr>
          <w:rFonts w:hint="default" w:ascii="Times New Roman" w:hAnsi="Times New Roman" w:eastAsia="仿宋_GB2312" w:cs="Times New Roman"/>
          <w:color w:val="auto"/>
          <w:sz w:val="32"/>
          <w:szCs w:val="32"/>
          <w:highlight w:val="none"/>
          <w:lang w:val="en-US" w:eastAsia="zh-CN"/>
        </w:rPr>
        <w:t>追究其法律责任。</w:t>
      </w:r>
      <w:r>
        <w:rPr>
          <w:rFonts w:hint="default" w:ascii="Times New Roman" w:hAnsi="Times New Roman" w:eastAsia="仿宋_GB2312" w:cs="Times New Roman"/>
          <w:color w:val="auto"/>
          <w:spacing w:val="-11"/>
          <w:sz w:val="32"/>
          <w:szCs w:val="32"/>
          <w:lang w:val="en-US" w:eastAsia="zh-CN"/>
        </w:rPr>
        <w:t>各区县</w:t>
      </w:r>
      <w:r>
        <w:rPr>
          <w:rFonts w:hint="eastAsia" w:eastAsia="仿宋_GB2312" w:cs="Times New Roman"/>
          <w:color w:val="auto"/>
          <w:spacing w:val="-11"/>
          <w:sz w:val="32"/>
          <w:szCs w:val="32"/>
          <w:lang w:val="en-US" w:eastAsia="zh-CN"/>
        </w:rPr>
        <w:t>（</w:t>
      </w:r>
      <w:r>
        <w:rPr>
          <w:rFonts w:hint="default" w:ascii="Times New Roman" w:hAnsi="Times New Roman" w:eastAsia="仿宋_GB2312" w:cs="Times New Roman"/>
          <w:color w:val="auto"/>
          <w:spacing w:val="-11"/>
          <w:sz w:val="32"/>
          <w:szCs w:val="32"/>
          <w:lang w:val="en-US" w:eastAsia="zh-CN"/>
        </w:rPr>
        <w:t>市</w:t>
      </w:r>
      <w:r>
        <w:rPr>
          <w:rFonts w:hint="eastAsia" w:eastAsia="仿宋_GB2312" w:cs="Times New Roman"/>
          <w:color w:val="auto"/>
          <w:spacing w:val="-11"/>
          <w:sz w:val="32"/>
          <w:szCs w:val="32"/>
          <w:lang w:val="en-US" w:eastAsia="zh-CN"/>
        </w:rPr>
        <w:t>）</w:t>
      </w:r>
      <w:r>
        <w:rPr>
          <w:rFonts w:hint="default" w:ascii="Times New Roman" w:hAnsi="Times New Roman" w:eastAsia="仿宋_GB2312" w:cs="Times New Roman"/>
          <w:color w:val="auto"/>
          <w:sz w:val="32"/>
          <w:szCs w:val="32"/>
          <w:lang w:val="en-US" w:eastAsia="zh-CN"/>
        </w:rPr>
        <w:t>文旅部门对申报材料的真实性、合法性进行核实审查并提出意见。</w:t>
      </w:r>
    </w:p>
    <w:p>
      <w:pPr>
        <w:pStyle w:val="18"/>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3.市文旅、财政部门适时组织开展财政资金绩效评价工作，强化绩效结果的运用，绩效评价结果作为后续申报的重要依据。</w:t>
      </w:r>
    </w:p>
    <w:p>
      <w:pPr>
        <w:pStyle w:val="13"/>
        <w:keepNext w:val="0"/>
        <w:keepLines w:val="0"/>
        <w:pageBreakBefore w:val="0"/>
        <w:widowControl w:val="0"/>
        <w:numPr>
          <w:ilvl w:val="0"/>
          <w:numId w:val="0"/>
        </w:numPr>
        <w:kinsoku/>
        <w:wordWrap/>
        <w:overflowPunct w:val="0"/>
        <w:topLinePunct w:val="0"/>
        <w:autoSpaceDE/>
        <w:autoSpaceDN/>
        <w:bidi w:val="0"/>
        <w:adjustRightInd/>
        <w:snapToGrid/>
        <w:spacing w:before="0" w:after="0" w:line="580" w:lineRule="exact"/>
        <w:ind w:left="0" w:right="0" w:rightChars="0" w:firstLine="640" w:firstLineChars="200"/>
        <w:jc w:val="both"/>
        <w:textAlignment w:val="auto"/>
        <w:rPr>
          <w:rFonts w:hint="default" w:ascii="Times New Roman" w:hAnsi="Times New Roman" w:eastAsia="仿宋_GB2312" w:cs="Times New Roman"/>
          <w:color w:val="92D050"/>
          <w:sz w:val="32"/>
          <w:szCs w:val="32"/>
          <w:lang w:val="en-US" w:eastAsia="zh-CN"/>
        </w:rPr>
      </w:pPr>
      <w:r>
        <w:rPr>
          <w:rFonts w:hint="default" w:ascii="Times New Roman" w:hAnsi="Times New Roman" w:eastAsia="仿宋_GB2312" w:cs="Times New Roman"/>
          <w:color w:val="auto"/>
          <w:kern w:val="2"/>
          <w:sz w:val="32"/>
          <w:szCs w:val="32"/>
          <w:lang w:val="en-US" w:eastAsia="zh-CN" w:bidi="ar-SA"/>
        </w:rPr>
        <w:t>4.“新建（改建）投资补助、运营补助”两项补助中，同一项目同一年度只能申报其中一项；同一主体投资或运营多个独立售票项目的可按项目分别申报；同一主体同一项目符合多项补助政策或其他同类政策的，按照“就高、不重复”的原则执行（奖励除外）。</w:t>
      </w:r>
    </w:p>
    <w:p>
      <w:pPr>
        <w:pStyle w:val="18"/>
        <w:keepNext w:val="0"/>
        <w:keepLines w:val="0"/>
        <w:pageBreakBefore w:val="0"/>
        <w:widowControl w:val="0"/>
        <w:kinsoku/>
        <w:wordWrap/>
        <w:overflowPunct w:val="0"/>
        <w:topLinePunct w:val="0"/>
        <w:autoSpaceDE/>
        <w:autoSpaceDN/>
        <w:bidi w:val="0"/>
        <w:adjustRightInd/>
        <w:snapToGrid/>
        <w:spacing w:before="0" w:after="0" w:line="580" w:lineRule="exact"/>
        <w:ind w:left="0" w:leftChars="0" w:right="0" w:rightChars="0" w:firstLine="640" w:firstLineChars="200"/>
        <w:jc w:val="both"/>
        <w:textAlignment w:val="auto"/>
        <w:rPr>
          <w:rFonts w:hint="default" w:ascii="Times New Roman" w:hAnsi="Times New Roman" w:eastAsia="仿宋_GB2312" w:cs="Times New Roman"/>
          <w:color w:val="000000"/>
          <w:spacing w:val="0"/>
          <w:sz w:val="32"/>
          <w:szCs w:val="32"/>
        </w:rPr>
      </w:pPr>
      <w:r>
        <w:rPr>
          <w:rFonts w:hint="default" w:ascii="Times New Roman" w:hAnsi="Times New Roman" w:cs="Times New Roman"/>
          <w:spacing w:val="0"/>
          <w:sz w:val="32"/>
        </w:rPr>
        <mc:AlternateContent>
          <mc:Choice Requires="wps">
            <w:drawing>
              <wp:anchor distT="0" distB="0" distL="114300" distR="114300" simplePos="0" relativeHeight="251662336" behindDoc="0" locked="0" layoutInCell="1" allowOverlap="1">
                <wp:simplePos x="0" y="0"/>
                <wp:positionH relativeFrom="column">
                  <wp:posOffset>-10160</wp:posOffset>
                </wp:positionH>
                <wp:positionV relativeFrom="paragraph">
                  <wp:posOffset>1091565</wp:posOffset>
                </wp:positionV>
                <wp:extent cx="5615940" cy="635"/>
                <wp:effectExtent l="0" t="0" r="0" b="0"/>
                <wp:wrapNone/>
                <wp:docPr id="8" name="直接连接符 8"/>
                <wp:cNvGraphicFramePr/>
                <a:graphic xmlns:a="http://schemas.openxmlformats.org/drawingml/2006/main">
                  <a:graphicData uri="http://schemas.microsoft.com/office/word/2010/wordprocessingShape">
                    <wps:wsp>
                      <wps:cNvCnPr/>
                      <wps:spPr>
                        <a:xfrm>
                          <a:off x="0" y="0"/>
                          <a:ext cx="5615940" cy="635"/>
                        </a:xfrm>
                        <a:prstGeom prst="line">
                          <a:avLst/>
                        </a:prstGeom>
                        <a:ln w="9525"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0.8pt;margin-top:85.95pt;height:0.05pt;width:442.2pt;z-index:251662336;mso-width-relative:page;mso-height-relative:page;" filled="f" stroked="t" coordsize="21600,21600" o:gfxdata="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BYAAABkcnMvUEsBAhQA&#10;FAAAAAgAh07iQMeJZMHWAAAACgEAAA8AAAAAAAAAAQAgAAAAOAAAAGRycy9kb3ducmV2LnhtbFBL&#10;AQIUABQAAAAIAIdO4kD61cKW4gEAAKkDAAAOAAAAAAAAAAEAIAAAADsBAABkcnMvZTJvRG9jLnht&#10;bFBLBQYAAAAABgAGAFkBAACPBQAAAAA=&#10;">
                <v:fill on="f" focussize="0,0"/>
                <v:stroke color="#000000" joinstyle="round"/>
                <v:imagedata o:title=""/>
                <o:lock v:ext="edit" aspectratio="f"/>
              </v:line>
            </w:pict>
          </mc:Fallback>
        </mc:AlternateContent>
      </w:r>
      <w:r>
        <w:rPr>
          <w:rFonts w:hint="default" w:ascii="Times New Roman" w:hAnsi="Times New Roman" w:eastAsia="仿宋_GB2312" w:cs="Times New Roman"/>
          <w:color w:val="auto"/>
          <w:sz w:val="32"/>
          <w:szCs w:val="32"/>
          <w:lang w:val="en-US" w:eastAsia="zh-CN"/>
        </w:rPr>
        <w:t>本细则自</w:t>
      </w:r>
      <w:r>
        <w:rPr>
          <w:rFonts w:hint="eastAsia" w:eastAsia="仿宋_GB2312" w:cs="Times New Roman"/>
          <w:color w:val="auto"/>
          <w:sz w:val="32"/>
          <w:szCs w:val="32"/>
          <w:highlight w:val="none"/>
          <w:lang w:val="en-US" w:eastAsia="zh-CN"/>
        </w:rPr>
        <w:t>2026年4月1日</w:t>
      </w:r>
      <w:r>
        <w:rPr>
          <w:rFonts w:hint="default" w:ascii="Times New Roman" w:hAnsi="Times New Roman" w:eastAsia="仿宋_GB2312" w:cs="Times New Roman"/>
          <w:color w:val="auto"/>
          <w:sz w:val="32"/>
          <w:szCs w:val="32"/>
          <w:highlight w:val="none"/>
          <w:lang w:val="en-US" w:eastAsia="zh-CN"/>
        </w:rPr>
        <w:t>起</w:t>
      </w:r>
      <w:r>
        <w:rPr>
          <w:rFonts w:hint="default" w:ascii="Times New Roman" w:hAnsi="Times New Roman" w:eastAsia="仿宋_GB2312" w:cs="Times New Roman"/>
          <w:color w:val="auto"/>
          <w:sz w:val="32"/>
          <w:szCs w:val="32"/>
          <w:lang w:val="en-US" w:eastAsia="zh-CN"/>
        </w:rPr>
        <w:t>施行，</w:t>
      </w:r>
      <w:r>
        <w:rPr>
          <w:rFonts w:hint="eastAsia" w:eastAsia="仿宋_GB2312" w:cs="Times New Roman"/>
          <w:color w:val="auto"/>
          <w:sz w:val="32"/>
          <w:szCs w:val="32"/>
          <w:lang w:val="en-US" w:eastAsia="zh-CN"/>
        </w:rPr>
        <w:t>有效期至2027年12月31日。</w:t>
      </w:r>
      <w:r>
        <w:rPr>
          <w:rFonts w:hint="default" w:ascii="Times New Roman" w:hAnsi="Times New Roman" w:eastAsia="仿宋_GB2312" w:cs="Times New Roman"/>
          <w:color w:val="auto"/>
          <w:sz w:val="32"/>
          <w:szCs w:val="32"/>
          <w:lang w:val="en-US" w:eastAsia="zh-CN"/>
        </w:rPr>
        <w:t>由长沙市文化旅游广电局负责解释，并根据实际情况适时调整。</w:t>
      </w:r>
    </w:p>
    <w:p>
      <w:pPr>
        <w:spacing w:line="540" w:lineRule="exact"/>
        <w:ind w:left="0" w:leftChars="0" w:firstLine="0" w:firstLineChars="0"/>
        <w:jc w:val="both"/>
        <w:rPr>
          <w:rFonts w:hint="default" w:ascii="Times New Roman" w:hAnsi="Times New Roman" w:eastAsia="仿宋_GB2312" w:cs="Times New Roman"/>
          <w:spacing w:val="0"/>
          <w:kern w:val="10"/>
          <w:sz w:val="32"/>
          <w:szCs w:val="32"/>
        </w:rPr>
      </w:pPr>
      <w:r>
        <w:rPr>
          <w:rFonts w:hint="default" w:ascii="Times New Roman" w:hAnsi="Times New Roman" w:cs="Times New Roman"/>
          <w:spacing w:val="0"/>
          <w:sz w:val="32"/>
        </w:rPr>
        <mc:AlternateContent>
          <mc:Choice Requires="wps">
            <w:drawing>
              <wp:anchor distT="0" distB="0" distL="114300" distR="114300" simplePos="0" relativeHeight="251663360" behindDoc="0" locked="0" layoutInCell="1" allowOverlap="1">
                <wp:simplePos x="0" y="0"/>
                <wp:positionH relativeFrom="column">
                  <wp:posOffset>-35560</wp:posOffset>
                </wp:positionH>
                <wp:positionV relativeFrom="paragraph">
                  <wp:posOffset>365125</wp:posOffset>
                </wp:positionV>
                <wp:extent cx="561594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615940" cy="635"/>
                        </a:xfrm>
                        <a:prstGeom prst="line">
                          <a:avLst/>
                        </a:prstGeom>
                        <a:ln w="9525"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2.8pt;margin-top:28.75pt;height:0.05pt;width:442.2pt;z-index:251663360;mso-width-relative:page;mso-height-relative:page;" filled="f" stroked="t" coordsize="21600,21600" o:gfxdata="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BYAAABkcnMvUEsBAhQA&#10;FAAAAAgAh07iQJC2FsnWAAAACAEAAA8AAAAAAAAAAQAgAAAAOAAAAGRycy9kb3ducmV2LnhtbFBL&#10;AQIUABQAAAAIAIdO4kDBTxeO4gEAAKkDAAAOAAAAAAAAAAEAIAAAADsBAABkcnMvZTJvRG9jLnht&#10;bFBLBQYAAAAABgAGAFkBAACPBQAAAAA=&#10;">
                <v:fill on="f" focussize="0,0"/>
                <v:stroke color="#000000" joinstyle="round"/>
                <v:imagedata o:title=""/>
                <o:lock v:ext="edit" aspectratio="f"/>
              </v:line>
            </w:pict>
          </mc:Fallback>
        </mc:AlternateContent>
      </w:r>
      <w:r>
        <w:rPr>
          <w:rFonts w:hint="default" w:ascii="Times New Roman" w:hAnsi="Times New Roman" w:eastAsia="仿宋_GB2312" w:cs="Times New Roman"/>
          <w:color w:val="000000"/>
          <w:spacing w:val="0"/>
          <w:sz w:val="32"/>
          <w:szCs w:val="32"/>
        </w:rPr>
        <w:t>长沙市文化旅游广电局</w:t>
      </w:r>
      <w:r>
        <w:rPr>
          <w:rFonts w:hint="default" w:ascii="Times New Roman" w:hAnsi="Times New Roman" w:eastAsia="仿宋_GB2312" w:cs="Times New Roman"/>
          <w:color w:val="000000"/>
          <w:spacing w:val="0"/>
          <w:sz w:val="32"/>
          <w:szCs w:val="32"/>
          <w:lang w:eastAsia="zh-CN"/>
        </w:rPr>
        <w:t>办公室</w:t>
      </w:r>
      <w:r>
        <w:rPr>
          <w:rFonts w:hint="default" w:ascii="Times New Roman" w:hAnsi="Times New Roman" w:eastAsia="仿宋_GB2312" w:cs="Times New Roman"/>
          <w:color w:val="000000"/>
          <w:spacing w:val="0"/>
          <w:sz w:val="32"/>
          <w:szCs w:val="32"/>
          <w:lang w:val="en-US" w:eastAsia="zh-CN"/>
        </w:rPr>
        <w:t xml:space="preserve">     </w:t>
      </w:r>
      <w:r>
        <w:rPr>
          <w:rFonts w:hint="default" w:ascii="Times New Roman" w:hAnsi="Times New Roman" w:cs="Times New Roman"/>
          <w:color w:val="000000"/>
          <w:spacing w:val="0"/>
          <w:sz w:val="32"/>
          <w:szCs w:val="32"/>
          <w:lang w:val="en-US" w:eastAsia="zh-CN"/>
        </w:rPr>
        <w:t xml:space="preserve">   </w:t>
      </w:r>
      <w:r>
        <w:rPr>
          <w:rFonts w:hint="default" w:ascii="Times New Roman" w:hAnsi="Times New Roman" w:eastAsia="仿宋_GB2312" w:cs="Times New Roman"/>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202</w:t>
      </w:r>
      <w:r>
        <w:rPr>
          <w:rFonts w:hint="default" w:ascii="Times New Roman" w:hAnsi="Times New Roman" w:cs="Times New Roman"/>
          <w:color w:val="auto"/>
          <w:spacing w:val="0"/>
          <w:sz w:val="32"/>
          <w:szCs w:val="32"/>
          <w:lang w:val="en-US" w:eastAsia="zh-CN"/>
        </w:rPr>
        <w:t>6</w:t>
      </w:r>
      <w:r>
        <w:rPr>
          <w:rFonts w:hint="default" w:ascii="Times New Roman" w:hAnsi="Times New Roman" w:eastAsia="仿宋_GB2312" w:cs="Times New Roman"/>
          <w:color w:val="auto"/>
          <w:spacing w:val="0"/>
          <w:sz w:val="32"/>
          <w:szCs w:val="32"/>
        </w:rPr>
        <w:t>年</w:t>
      </w:r>
      <w:r>
        <w:rPr>
          <w:rFonts w:hint="eastAsia" w:cs="Times New Roman"/>
          <w:color w:val="auto"/>
          <w:spacing w:val="0"/>
          <w:sz w:val="32"/>
          <w:szCs w:val="32"/>
          <w:lang w:val="en-US" w:eastAsia="zh-CN"/>
        </w:rPr>
        <w:t>4</w:t>
      </w:r>
      <w:r>
        <w:rPr>
          <w:rFonts w:hint="default" w:ascii="Times New Roman" w:hAnsi="Times New Roman" w:eastAsia="仿宋_GB2312" w:cs="Times New Roman"/>
          <w:color w:val="auto"/>
          <w:spacing w:val="0"/>
          <w:sz w:val="32"/>
          <w:szCs w:val="32"/>
        </w:rPr>
        <w:t>月</w:t>
      </w:r>
      <w:r>
        <w:rPr>
          <w:rFonts w:hint="eastAsia" w:cs="Times New Roman"/>
          <w:color w:val="auto"/>
          <w:spacing w:val="0"/>
          <w:sz w:val="32"/>
          <w:szCs w:val="32"/>
          <w:lang w:val="en-US" w:eastAsia="zh-CN"/>
        </w:rPr>
        <w:t>1</w:t>
      </w:r>
      <w:r>
        <w:rPr>
          <w:rFonts w:hint="default" w:ascii="Times New Roman" w:hAnsi="Times New Roman" w:eastAsia="仿宋_GB2312" w:cs="Times New Roman"/>
          <w:color w:val="auto"/>
          <w:spacing w:val="0"/>
          <w:sz w:val="32"/>
          <w:szCs w:val="32"/>
        </w:rPr>
        <w:t>日</w:t>
      </w:r>
      <w:r>
        <w:rPr>
          <w:rFonts w:hint="default" w:ascii="Times New Roman" w:hAnsi="Times New Roman" w:eastAsia="仿宋_GB2312" w:cs="Times New Roman"/>
          <w:color w:val="auto"/>
          <w:spacing w:val="0"/>
          <w:sz w:val="32"/>
          <w:szCs w:val="32"/>
          <w:lang w:eastAsia="zh-CN"/>
        </w:rPr>
        <w:t>印发</w:t>
      </w:r>
    </w:p>
    <w:p>
      <w:pPr>
        <w:pStyle w:val="2"/>
        <w:keepNext w:val="0"/>
        <w:keepLines w:val="0"/>
        <w:pageBreakBefore w:val="0"/>
        <w:widowControl w:val="0"/>
        <w:kinsoku/>
        <w:wordWrap/>
        <w:overflowPunct/>
        <w:topLinePunct w:val="0"/>
        <w:autoSpaceDE/>
        <w:autoSpaceDN/>
        <w:bidi w:val="0"/>
        <w:adjustRightInd/>
        <w:snapToGrid/>
        <w:spacing w:after="0" w:line="20" w:lineRule="exact"/>
        <w:ind w:firstLine="640" w:firstLineChars="200"/>
        <w:textAlignment w:val="auto"/>
        <w:rPr>
          <w:rFonts w:hint="default" w:ascii="Times New Roman" w:hAnsi="Times New Roman" w:cs="Times New Roman"/>
          <w:spacing w:val="0"/>
          <w:szCs w:val="32"/>
          <w:highlight w:val="none"/>
          <w:lang w:val="en-US" w:eastAsia="zh-CN"/>
        </w:rPr>
      </w:pPr>
    </w:p>
    <w:p>
      <w:pPr>
        <w:pStyle w:val="18"/>
        <w:keepNext w:val="0"/>
        <w:keepLines w:val="0"/>
        <w:pageBreakBefore w:val="0"/>
        <w:widowControl w:val="0"/>
        <w:kinsoku/>
        <w:wordWrap/>
        <w:overflowPunct w:val="0"/>
        <w:topLinePunct w:val="0"/>
        <w:autoSpaceDE/>
        <w:autoSpaceDN/>
        <w:bidi w:val="0"/>
        <w:adjustRightInd/>
        <w:snapToGrid/>
        <w:spacing w:before="0" w:after="0" w:line="20" w:lineRule="exact"/>
        <w:ind w:left="0" w:leftChars="0" w:right="0" w:rightChars="0" w:firstLine="640" w:firstLineChars="200"/>
        <w:jc w:val="both"/>
        <w:textAlignment w:val="auto"/>
        <w:rPr>
          <w:rFonts w:hint="default" w:ascii="Times New Roman" w:hAnsi="Times New Roman" w:eastAsia="仿宋_GB2312" w:cs="Times New Roman"/>
          <w:color w:val="auto"/>
          <w:sz w:val="32"/>
          <w:szCs w:val="32"/>
          <w:lang w:val="en-US" w:eastAsia="zh-CN"/>
        </w:rPr>
      </w:pPr>
    </w:p>
    <w:sectPr>
      <w:footerReference r:id="rId3" w:type="default"/>
      <w:pgSz w:w="11906" w:h="16838"/>
      <w:pgMar w:top="1701" w:right="1587" w:bottom="1701"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2010600030101010101"/>
    <w:charset w:val="88"/>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7A"/>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keepNext w:val="0"/>
                            <w:keepLines w:val="0"/>
                            <w:pageBreakBefore w:val="0"/>
                            <w:widowControl w:val="0"/>
                            <w:kinsoku/>
                            <w:wordWrap/>
                            <w:overflowPunct/>
                            <w:topLinePunct w:val="0"/>
                            <w:bidi w:val="0"/>
                            <w:adjustRightInd/>
                            <w:snapToGrid w:val="0"/>
                            <w:ind w:left="210" w:leftChars="100" w:right="210" w:rightChars="1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9"/>
                      <w:keepNext w:val="0"/>
                      <w:keepLines w:val="0"/>
                      <w:pageBreakBefore w:val="0"/>
                      <w:widowControl w:val="0"/>
                      <w:kinsoku/>
                      <w:wordWrap/>
                      <w:overflowPunct/>
                      <w:topLinePunct w:val="0"/>
                      <w:bidi w:val="0"/>
                      <w:adjustRightInd/>
                      <w:snapToGrid w:val="0"/>
                      <w:ind w:left="210" w:leftChars="100" w:right="210" w:rightChars="1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978E9"/>
    <w:rsid w:val="0070277A"/>
    <w:rsid w:val="01082695"/>
    <w:rsid w:val="01F40394"/>
    <w:rsid w:val="026F6D24"/>
    <w:rsid w:val="02B47D3B"/>
    <w:rsid w:val="02DE0E47"/>
    <w:rsid w:val="032B3AB8"/>
    <w:rsid w:val="043057ED"/>
    <w:rsid w:val="048D195A"/>
    <w:rsid w:val="04E15D5C"/>
    <w:rsid w:val="04F81B00"/>
    <w:rsid w:val="05B81F7D"/>
    <w:rsid w:val="06F67290"/>
    <w:rsid w:val="07874D14"/>
    <w:rsid w:val="07B70A9C"/>
    <w:rsid w:val="07C271DC"/>
    <w:rsid w:val="081E10EA"/>
    <w:rsid w:val="08730E67"/>
    <w:rsid w:val="09B74C81"/>
    <w:rsid w:val="0A5B2130"/>
    <w:rsid w:val="0B064214"/>
    <w:rsid w:val="0B616943"/>
    <w:rsid w:val="0B91191F"/>
    <w:rsid w:val="0C0149DC"/>
    <w:rsid w:val="0C7C4062"/>
    <w:rsid w:val="0CB905C7"/>
    <w:rsid w:val="0D951880"/>
    <w:rsid w:val="0DDA308E"/>
    <w:rsid w:val="0EC65764"/>
    <w:rsid w:val="0F055388"/>
    <w:rsid w:val="0F7437D2"/>
    <w:rsid w:val="0F796797"/>
    <w:rsid w:val="113B24D4"/>
    <w:rsid w:val="115D4462"/>
    <w:rsid w:val="11624912"/>
    <w:rsid w:val="12152A13"/>
    <w:rsid w:val="124D097B"/>
    <w:rsid w:val="12B11C20"/>
    <w:rsid w:val="13054DB2"/>
    <w:rsid w:val="137B2552"/>
    <w:rsid w:val="13CC72BD"/>
    <w:rsid w:val="159A1EE1"/>
    <w:rsid w:val="172774C3"/>
    <w:rsid w:val="172941E7"/>
    <w:rsid w:val="17F62383"/>
    <w:rsid w:val="183D4FEE"/>
    <w:rsid w:val="18A46C1D"/>
    <w:rsid w:val="194859F8"/>
    <w:rsid w:val="195A16BE"/>
    <w:rsid w:val="198B2AAB"/>
    <w:rsid w:val="19BB5880"/>
    <w:rsid w:val="1A741484"/>
    <w:rsid w:val="1A905DA4"/>
    <w:rsid w:val="1ABA46D4"/>
    <w:rsid w:val="1AFE05D6"/>
    <w:rsid w:val="1C2344FA"/>
    <w:rsid w:val="1C715266"/>
    <w:rsid w:val="1DC6338F"/>
    <w:rsid w:val="1E1E7776"/>
    <w:rsid w:val="1E650DFA"/>
    <w:rsid w:val="1FAD4807"/>
    <w:rsid w:val="1FBE7859"/>
    <w:rsid w:val="20061318"/>
    <w:rsid w:val="20E97AC1"/>
    <w:rsid w:val="20F070A1"/>
    <w:rsid w:val="2108740A"/>
    <w:rsid w:val="212C3E51"/>
    <w:rsid w:val="212E7B0D"/>
    <w:rsid w:val="22097CEF"/>
    <w:rsid w:val="229E2B2D"/>
    <w:rsid w:val="23955CDE"/>
    <w:rsid w:val="23A128D5"/>
    <w:rsid w:val="242E1C8E"/>
    <w:rsid w:val="24AC1531"/>
    <w:rsid w:val="24D8085D"/>
    <w:rsid w:val="25134AB8"/>
    <w:rsid w:val="254D280F"/>
    <w:rsid w:val="25690F5C"/>
    <w:rsid w:val="25F57D2E"/>
    <w:rsid w:val="27895B59"/>
    <w:rsid w:val="27ED2D9D"/>
    <w:rsid w:val="28342551"/>
    <w:rsid w:val="28B47199"/>
    <w:rsid w:val="29514455"/>
    <w:rsid w:val="296E1C48"/>
    <w:rsid w:val="29F179E6"/>
    <w:rsid w:val="29F4312C"/>
    <w:rsid w:val="2A871810"/>
    <w:rsid w:val="2B3C2EE3"/>
    <w:rsid w:val="2BDD344D"/>
    <w:rsid w:val="2BE4765A"/>
    <w:rsid w:val="2CAD4098"/>
    <w:rsid w:val="2D7352E2"/>
    <w:rsid w:val="2DD572DC"/>
    <w:rsid w:val="2DD77553"/>
    <w:rsid w:val="2E026666"/>
    <w:rsid w:val="2E6C04DE"/>
    <w:rsid w:val="2E722F58"/>
    <w:rsid w:val="2EC76F67"/>
    <w:rsid w:val="2F7A423F"/>
    <w:rsid w:val="2FB36551"/>
    <w:rsid w:val="2FEEF35E"/>
    <w:rsid w:val="2FF27F16"/>
    <w:rsid w:val="305E43FC"/>
    <w:rsid w:val="306400EF"/>
    <w:rsid w:val="31DE2F46"/>
    <w:rsid w:val="321B6B0C"/>
    <w:rsid w:val="32212ED5"/>
    <w:rsid w:val="32250554"/>
    <w:rsid w:val="32715B68"/>
    <w:rsid w:val="332B1232"/>
    <w:rsid w:val="33532667"/>
    <w:rsid w:val="336F02F9"/>
    <w:rsid w:val="343D562B"/>
    <w:rsid w:val="3560660A"/>
    <w:rsid w:val="3563632E"/>
    <w:rsid w:val="35A85D44"/>
    <w:rsid w:val="35B57156"/>
    <w:rsid w:val="35C222B8"/>
    <w:rsid w:val="35CF507F"/>
    <w:rsid w:val="35DE3514"/>
    <w:rsid w:val="35FD832B"/>
    <w:rsid w:val="36301703"/>
    <w:rsid w:val="363446FD"/>
    <w:rsid w:val="36462E68"/>
    <w:rsid w:val="368761B5"/>
    <w:rsid w:val="36FA25D0"/>
    <w:rsid w:val="371116C7"/>
    <w:rsid w:val="37E63F70"/>
    <w:rsid w:val="382B4B2E"/>
    <w:rsid w:val="38443D8B"/>
    <w:rsid w:val="38DB1F8D"/>
    <w:rsid w:val="38E250CA"/>
    <w:rsid w:val="3914724D"/>
    <w:rsid w:val="39476F0F"/>
    <w:rsid w:val="3A013C75"/>
    <w:rsid w:val="3C59761D"/>
    <w:rsid w:val="3D5859B1"/>
    <w:rsid w:val="3E4A0AF3"/>
    <w:rsid w:val="3E4E3201"/>
    <w:rsid w:val="3F827A5D"/>
    <w:rsid w:val="3FB73632"/>
    <w:rsid w:val="3FFF1AF4"/>
    <w:rsid w:val="3FFF200F"/>
    <w:rsid w:val="401859C8"/>
    <w:rsid w:val="405C7E57"/>
    <w:rsid w:val="40E1035D"/>
    <w:rsid w:val="414F3518"/>
    <w:rsid w:val="41567984"/>
    <w:rsid w:val="42001621"/>
    <w:rsid w:val="42417305"/>
    <w:rsid w:val="42894808"/>
    <w:rsid w:val="42FF26D4"/>
    <w:rsid w:val="43543566"/>
    <w:rsid w:val="43B17500"/>
    <w:rsid w:val="43B21B3C"/>
    <w:rsid w:val="448F0171"/>
    <w:rsid w:val="44DF00FF"/>
    <w:rsid w:val="4550160D"/>
    <w:rsid w:val="4556700C"/>
    <w:rsid w:val="45AE5FF4"/>
    <w:rsid w:val="45C73FC5"/>
    <w:rsid w:val="464014AB"/>
    <w:rsid w:val="46A63BDA"/>
    <w:rsid w:val="46DC6B17"/>
    <w:rsid w:val="46E24A3D"/>
    <w:rsid w:val="47E54589"/>
    <w:rsid w:val="49522799"/>
    <w:rsid w:val="495C0E67"/>
    <w:rsid w:val="499917D4"/>
    <w:rsid w:val="49E50EBD"/>
    <w:rsid w:val="4A0D3F70"/>
    <w:rsid w:val="4A382352"/>
    <w:rsid w:val="4A701B4D"/>
    <w:rsid w:val="4AF018C8"/>
    <w:rsid w:val="4CF775C6"/>
    <w:rsid w:val="4D482A14"/>
    <w:rsid w:val="4D5B18A8"/>
    <w:rsid w:val="4DBA440F"/>
    <w:rsid w:val="4E037B64"/>
    <w:rsid w:val="4EFF285D"/>
    <w:rsid w:val="4F19776D"/>
    <w:rsid w:val="4FB75D86"/>
    <w:rsid w:val="4FF45606"/>
    <w:rsid w:val="508A7A43"/>
    <w:rsid w:val="50F73284"/>
    <w:rsid w:val="510F05CE"/>
    <w:rsid w:val="51D2791C"/>
    <w:rsid w:val="51E7563C"/>
    <w:rsid w:val="528F5C9D"/>
    <w:rsid w:val="52D67D6F"/>
    <w:rsid w:val="53B7522D"/>
    <w:rsid w:val="54324EE1"/>
    <w:rsid w:val="54D04518"/>
    <w:rsid w:val="551578B8"/>
    <w:rsid w:val="55357F85"/>
    <w:rsid w:val="555962BC"/>
    <w:rsid w:val="55883CE0"/>
    <w:rsid w:val="55D41A1A"/>
    <w:rsid w:val="56260894"/>
    <w:rsid w:val="5634007B"/>
    <w:rsid w:val="56690EFF"/>
    <w:rsid w:val="568A2E25"/>
    <w:rsid w:val="56927CD7"/>
    <w:rsid w:val="56B04786"/>
    <w:rsid w:val="56C45044"/>
    <w:rsid w:val="56CB4375"/>
    <w:rsid w:val="570A4D37"/>
    <w:rsid w:val="572837CA"/>
    <w:rsid w:val="57B123DF"/>
    <w:rsid w:val="57C572A7"/>
    <w:rsid w:val="587C55B5"/>
    <w:rsid w:val="59C26858"/>
    <w:rsid w:val="5A0E58C7"/>
    <w:rsid w:val="5B37034D"/>
    <w:rsid w:val="5B5C4D58"/>
    <w:rsid w:val="5CD73CD7"/>
    <w:rsid w:val="5E2F159C"/>
    <w:rsid w:val="5EB01451"/>
    <w:rsid w:val="5EB56C59"/>
    <w:rsid w:val="5EFBD37B"/>
    <w:rsid w:val="5F33005B"/>
    <w:rsid w:val="600079FF"/>
    <w:rsid w:val="60885CA7"/>
    <w:rsid w:val="60B30F76"/>
    <w:rsid w:val="617050B9"/>
    <w:rsid w:val="618B1EF3"/>
    <w:rsid w:val="62A015E1"/>
    <w:rsid w:val="630E7C68"/>
    <w:rsid w:val="64815D10"/>
    <w:rsid w:val="65F5292D"/>
    <w:rsid w:val="66242721"/>
    <w:rsid w:val="66B5531C"/>
    <w:rsid w:val="676C4A3A"/>
    <w:rsid w:val="67FB7B3E"/>
    <w:rsid w:val="682D7860"/>
    <w:rsid w:val="68E0187F"/>
    <w:rsid w:val="69313380"/>
    <w:rsid w:val="6933534A"/>
    <w:rsid w:val="697D4D09"/>
    <w:rsid w:val="69CE6E20"/>
    <w:rsid w:val="6AF97ECD"/>
    <w:rsid w:val="6B795335"/>
    <w:rsid w:val="6BC71C59"/>
    <w:rsid w:val="6BE2620E"/>
    <w:rsid w:val="6C6E6699"/>
    <w:rsid w:val="6CD27BD3"/>
    <w:rsid w:val="6D4B2536"/>
    <w:rsid w:val="6D4C60D5"/>
    <w:rsid w:val="6D6369CC"/>
    <w:rsid w:val="6DC84384"/>
    <w:rsid w:val="6DC95E1A"/>
    <w:rsid w:val="6DFF93CE"/>
    <w:rsid w:val="6E602AFD"/>
    <w:rsid w:val="6E875E7B"/>
    <w:rsid w:val="6EA92612"/>
    <w:rsid w:val="6EB50899"/>
    <w:rsid w:val="6EFDB15F"/>
    <w:rsid w:val="6F4F13C4"/>
    <w:rsid w:val="6FA81EC2"/>
    <w:rsid w:val="6FE09BC1"/>
    <w:rsid w:val="6FE3114C"/>
    <w:rsid w:val="70B054D2"/>
    <w:rsid w:val="711549FE"/>
    <w:rsid w:val="7138046C"/>
    <w:rsid w:val="71C752F3"/>
    <w:rsid w:val="71CE414E"/>
    <w:rsid w:val="730C4CD2"/>
    <w:rsid w:val="732C60AE"/>
    <w:rsid w:val="733817AF"/>
    <w:rsid w:val="73BD2899"/>
    <w:rsid w:val="73D63ED0"/>
    <w:rsid w:val="74253AE1"/>
    <w:rsid w:val="7443040B"/>
    <w:rsid w:val="7496678D"/>
    <w:rsid w:val="755C1784"/>
    <w:rsid w:val="764D731F"/>
    <w:rsid w:val="76D50943"/>
    <w:rsid w:val="773A5AF5"/>
    <w:rsid w:val="77F4039A"/>
    <w:rsid w:val="789B5A1E"/>
    <w:rsid w:val="79303301"/>
    <w:rsid w:val="7A1F1F1F"/>
    <w:rsid w:val="7A63473A"/>
    <w:rsid w:val="7B307B6F"/>
    <w:rsid w:val="7BAD0F8C"/>
    <w:rsid w:val="7BC47D3C"/>
    <w:rsid w:val="7CB46DB7"/>
    <w:rsid w:val="7D366D5F"/>
    <w:rsid w:val="7D8C6761"/>
    <w:rsid w:val="7DDE12FE"/>
    <w:rsid w:val="7E5A082B"/>
    <w:rsid w:val="7E5E70AE"/>
    <w:rsid w:val="7E737F8A"/>
    <w:rsid w:val="7F1475B9"/>
    <w:rsid w:val="7F6B67B6"/>
    <w:rsid w:val="7F99EB1D"/>
    <w:rsid w:val="7FBF9E39"/>
    <w:rsid w:val="7FBFBCC9"/>
    <w:rsid w:val="7FFE213E"/>
    <w:rsid w:val="A9B7F7EA"/>
    <w:rsid w:val="B7FCE39F"/>
    <w:rsid w:val="BE732113"/>
    <w:rsid w:val="BFA8B496"/>
    <w:rsid w:val="BFAFE967"/>
    <w:rsid w:val="BFF7C164"/>
    <w:rsid w:val="C5DE40A4"/>
    <w:rsid w:val="CFEB1445"/>
    <w:rsid w:val="D7FF88B7"/>
    <w:rsid w:val="DFAF907A"/>
    <w:rsid w:val="E3DD37F9"/>
    <w:rsid w:val="EEFE6674"/>
    <w:rsid w:val="F495E498"/>
    <w:rsid w:val="FB97A23F"/>
    <w:rsid w:val="FED683C0"/>
    <w:rsid w:val="FEDBFC25"/>
    <w:rsid w:val="FF2EDFA6"/>
    <w:rsid w:val="FFCBC9B2"/>
    <w:rsid w:val="FFEF9486"/>
    <w:rsid w:val="FFFE8D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after="0"/>
      <w:ind w:left="0" w:right="0"/>
      <w:jc w:val="both"/>
    </w:pPr>
    <w:rPr>
      <w:rFonts w:ascii="Times New Roman" w:hAnsi="Times New Roman" w:eastAsia="宋体" w:cs="Times New Roman"/>
      <w:kern w:val="2"/>
      <w:sz w:val="21"/>
      <w:szCs w:val="22"/>
      <w:lang w:val="en-US" w:eastAsia="zh-CN" w:bidi="ar-SA"/>
    </w:rPr>
  </w:style>
  <w:style w:type="paragraph" w:styleId="3">
    <w:name w:val="heading 2"/>
    <w:basedOn w:val="1"/>
    <w:next w:val="1"/>
    <w:qFormat/>
    <w:uiPriority w:val="0"/>
    <w:pPr>
      <w:keepNext/>
      <w:keepLines/>
      <w:spacing w:line="576" w:lineRule="exact"/>
      <w:outlineLvl w:val="1"/>
    </w:pPr>
  </w:style>
  <w:style w:type="character" w:default="1" w:styleId="15">
    <w:name w:val="Default Paragraph Font"/>
    <w:qFormat/>
    <w:uiPriority w:val="0"/>
  </w:style>
  <w:style w:type="table" w:default="1" w:styleId="14">
    <w:name w:val="Normal Table"/>
    <w:qFormat/>
    <w:uiPriority w:val="0"/>
    <w:tblPr>
      <w:tblCellMar>
        <w:top w:w="0" w:type="dxa"/>
        <w:left w:w="108" w:type="dxa"/>
        <w:bottom w:w="0" w:type="dxa"/>
        <w:right w:w="108" w:type="dxa"/>
      </w:tblCellMar>
    </w:tblPr>
  </w:style>
  <w:style w:type="paragraph" w:styleId="2">
    <w:name w:val="Body Text"/>
    <w:basedOn w:val="1"/>
    <w:qFormat/>
    <w:uiPriority w:val="0"/>
    <w:pPr>
      <w:widowControl w:val="0"/>
      <w:spacing w:before="0" w:after="120"/>
      <w:ind w:left="0" w:right="0"/>
      <w:jc w:val="both"/>
    </w:pPr>
    <w:rPr>
      <w:rFonts w:ascii="Calibri" w:hAnsi="Calibri" w:eastAsia="仿宋" w:cs="Times New Roman"/>
      <w:kern w:val="2"/>
      <w:sz w:val="32"/>
      <w:szCs w:val="24"/>
      <w:lang w:val="en-US" w:eastAsia="zh-CN" w:bidi="ar-SA"/>
    </w:rPr>
  </w:style>
  <w:style w:type="paragraph" w:styleId="4">
    <w:name w:val="index 8"/>
    <w:basedOn w:val="5"/>
    <w:next w:val="5"/>
    <w:qFormat/>
    <w:uiPriority w:val="0"/>
    <w:pPr>
      <w:ind w:left="2940"/>
    </w:pPr>
  </w:style>
  <w:style w:type="paragraph" w:customStyle="1" w:styleId="5">
    <w:name w:val="正文_0"/>
    <w:next w:val="6"/>
    <w:qFormat/>
    <w:uiPriority w:val="0"/>
    <w:pPr>
      <w:widowControl w:val="0"/>
      <w:jc w:val="both"/>
    </w:pPr>
    <w:rPr>
      <w:rFonts w:ascii="Calibri" w:hAnsi="Calibri" w:eastAsia="宋体" w:cs="Times New Roman"/>
      <w:kern w:val="2"/>
      <w:sz w:val="21"/>
      <w:szCs w:val="24"/>
      <w:lang w:val="en-US" w:eastAsia="zh-CN" w:bidi="ar-SA"/>
    </w:rPr>
  </w:style>
  <w:style w:type="paragraph" w:styleId="6">
    <w:name w:val="Plain Text"/>
    <w:basedOn w:val="5"/>
    <w:next w:val="4"/>
    <w:unhideWhenUsed/>
    <w:qFormat/>
    <w:uiPriority w:val="99"/>
    <w:rPr>
      <w:rFonts w:ascii="宋体" w:hAnsi="Courier New" w:cs="Courier New"/>
      <w:szCs w:val="32"/>
    </w:rPr>
  </w:style>
  <w:style w:type="paragraph" w:styleId="7">
    <w:name w:val="Normal Indent"/>
    <w:basedOn w:val="1"/>
    <w:next w:val="8"/>
    <w:qFormat/>
    <w:uiPriority w:val="0"/>
    <w:pPr>
      <w:ind w:firstLine="420" w:firstLineChars="200"/>
    </w:pPr>
    <w:rPr>
      <w:rFonts w:ascii="Times New Roman" w:hAnsi="Times New Roman" w:eastAsia="宋体" w:cs="Times New Roman"/>
    </w:rPr>
  </w:style>
  <w:style w:type="paragraph" w:styleId="8">
    <w:name w:val="index 5"/>
    <w:basedOn w:val="1"/>
    <w:next w:val="1"/>
    <w:qFormat/>
    <w:uiPriority w:val="0"/>
    <w:pPr>
      <w:ind w:left="1680"/>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Body Text 2"/>
    <w:basedOn w:val="1"/>
    <w:qFormat/>
    <w:uiPriority w:val="0"/>
    <w:rPr>
      <w:rFonts w:eastAsia="方正小标宋简体"/>
      <w:w w:val="85"/>
      <w:sz w:val="96"/>
      <w:szCs w:val="20"/>
    </w:rPr>
  </w:style>
  <w:style w:type="paragraph" w:styleId="12">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3">
    <w:name w:val="Body Text First Indent"/>
    <w:basedOn w:val="2"/>
    <w:qFormat/>
    <w:uiPriority w:val="0"/>
    <w:pPr>
      <w:widowControl w:val="0"/>
      <w:suppressAutoHyphens/>
      <w:ind w:firstLine="100" w:firstLineChars="100"/>
      <w:jc w:val="both"/>
    </w:pPr>
    <w:rPr>
      <w:rFonts w:ascii="Calibri" w:hAnsi="Calibri" w:eastAsia="宋体" w:cs="Times New Roman"/>
      <w:sz w:val="21"/>
      <w:szCs w:val="24"/>
    </w:rPr>
  </w:style>
  <w:style w:type="character" w:styleId="16">
    <w:name w:val="Strong"/>
    <w:basedOn w:val="15"/>
    <w:qFormat/>
    <w:uiPriority w:val="0"/>
    <w:rPr>
      <w:b/>
    </w:rPr>
  </w:style>
  <w:style w:type="paragraph" w:customStyle="1" w:styleId="17">
    <w:name w:val="_Style 3"/>
    <w:next w:val="1"/>
    <w:qFormat/>
    <w:uiPriority w:val="0"/>
    <w:pPr>
      <w:wordWrap w:val="0"/>
    </w:pPr>
    <w:rPr>
      <w:rFonts w:ascii="Times New Roman" w:hAnsi="Times New Roman" w:eastAsia="宋体" w:cs="Times New Roman"/>
      <w:sz w:val="32"/>
      <w:lang w:val="en-US" w:eastAsia="zh-CN" w:bidi="ar-SA"/>
    </w:rPr>
  </w:style>
  <w:style w:type="paragraph" w:customStyle="1" w:styleId="18">
    <w:name w:val="NOTE_Normal"/>
    <w:basedOn w:val="1"/>
    <w:qFormat/>
    <w:uiPriority w:val="0"/>
  </w:style>
  <w:style w:type="paragraph" w:customStyle="1" w:styleId="19">
    <w:name w:val="Heading2"/>
    <w:basedOn w:val="1"/>
    <w:next w:val="1"/>
    <w:qFormat/>
    <w:uiPriority w:val="0"/>
    <w:pPr>
      <w:keepNext/>
      <w:keepLines/>
      <w:spacing w:before="260" w:after="260" w:line="416" w:lineRule="auto"/>
    </w:pPr>
    <w:rPr>
      <w:rFonts w:ascii="Arial" w:hAnsi="Arial" w:eastAsia="黑体"/>
      <w:b/>
      <w:bCs/>
    </w:rPr>
  </w:style>
  <w:style w:type="paragraph" w:customStyle="1" w:styleId="20">
    <w:name w:val="Table Text"/>
    <w:basedOn w:val="1"/>
    <w:semiHidden/>
    <w:qFormat/>
    <w:uiPriority w:val="0"/>
    <w:rPr>
      <w:rFonts w:ascii="宋体" w:hAnsi="宋体" w:eastAsia="宋体" w:cs="宋体"/>
      <w:sz w:val="28"/>
      <w:szCs w:val="28"/>
      <w:lang w:val="en-US" w:eastAsia="en-US" w:bidi="ar-SA"/>
    </w:rPr>
  </w:style>
  <w:style w:type="table" w:customStyle="1" w:styleId="21">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2347</Words>
  <Characters>2451</Characters>
  <Paragraphs>45</Paragraphs>
  <TotalTime>2</TotalTime>
  <ScaleCrop>false</ScaleCrop>
  <LinksUpToDate>false</LinksUpToDate>
  <CharactersWithSpaces>2486</CharactersWithSpaces>
  <Application>WPS Office_11.8.2.9701_F1E327BC-269C-435d-A152-05C5408002CA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2025-07-20T16:53:00Z</dcterms:created>
  <dc:creator>铁血丹心</dc:creator>
  <cp:lastModifiedBy>kylin</cp:lastModifiedBy>
  <cp:lastPrinted>2026-04-01T10:46:00Z</cp:lastPrinted>
  <dcterms:modified xsi:type="dcterms:W3CDTF">2026-04-02T09:47:02Z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2052-11.8.2.9701</vt:lpwstr>
  </property>
  <property fmtid="{D5CDD505-2E9C-101B-9397-08002B2CF9AE}" pid="3" name="ICV">
    <vt:lpwstr>48C5533506574DC8A024ED9C00E705B7_13</vt:lpwstr>
  </property>
  <property fmtid="{D5CDD505-2E9C-101B-9397-08002B2CF9AE}" pid="4" name="KSOTemplateDocerSaveRecord">
    <vt:lpwstr>eyJoZGlkIjoiNmNkZDM5ZjdkMTVjMmZhMjRmYmI0ZDRkNWI2YzQ2YjEiLCJ1c2VySWQiOiIxMzM1MTE0OTYwIn0=</vt:lpwstr>
  </property>
</Properties>
</file>